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142026_101008.xml.htm"/>
      <w:bookmarkStart w:id="1" w:name="ksform310142026_10100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Miller Thomas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IAMBIC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5627 OBERLIN DRIVE, SUITE 120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Iambic Therapeutics, Inc.</w:t>
              </w:r>
            </w:hyperlink>
            <w:r>
              <w:rPr/>
              <w:t xml:space="preserve"> [ </w:t>
            </w:r>
            <w:r>
              <w:rPr>
                <w:rFonts w:ascii="Times;serif" w:hAnsi="Times;serif"/>
                <w:color w:val="0000FF"/>
                <w:sz w:val="24"/>
                <w:shd w:fill="FFFFFF" w:val="clear"/>
              </w:rPr>
              <w:t>IAM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1,278,556</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5"/>
        <w:gridCol w:w="1222"/>
        <w:gridCol w:w="1123"/>
        <w:gridCol w:w="1277"/>
        <w:gridCol w:w="967"/>
        <w:gridCol w:w="1253"/>
        <w:gridCol w:w="1211"/>
        <w:gridCol w:w="1337"/>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7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6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08/07/2034</w:t>
            </w:r>
          </w:p>
        </w:tc>
        <w:tc>
          <w:tcPr>
            <w:tcW w:w="12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58,204</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w:t>
            </w:r>
          </w:p>
        </w:tc>
        <w:tc>
          <w:tcPr>
            <w:tcW w:w="12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08/07/2034</w:t>
            </w:r>
          </w:p>
        </w:tc>
        <w:tc>
          <w:tcPr>
            <w:tcW w:w="12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137,697</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w:t>
            </w:r>
          </w:p>
        </w:tc>
        <w:tc>
          <w:tcPr>
            <w:tcW w:w="12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03/03/2036</w:t>
            </w:r>
          </w:p>
        </w:tc>
        <w:tc>
          <w:tcPr>
            <w:tcW w:w="12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136,026</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w:t>
            </w:r>
          </w:p>
        </w:tc>
        <w:tc>
          <w:tcPr>
            <w:tcW w:w="12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2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317,394</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2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Of the reported shares, 4,071 were issued pursuant to an early exercise provision and which vest in full on March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An option to purchase 137,696 shares was granted on May 16, 2023 and was exercised in part prior to the date on which the reporting person became subject to Section 16. The shares subject to the option vest in 48 equal monthly installments beginning on July 1,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subject to certain performance metrics. Prior to the date on which the reporting person became subject to Section 16, 50% of the shares subject to the option vested. The remaining 50% vest upon the Issuer's submission to the FDA of an IND application relating to cyclin-dependent kinase, as determined by the administrator of the Issuer's 2020 Equity Incentive Plan in accordance with the terms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subject to the option vest in 48 equal monthly installments beginning on March 23,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performance-based restricted stock units, or PSUs, vest upon the satisfaction of certain milestones and a liquidity event. The milestone requirement will be satisfied upon the earlier of (i) (a) the first dosing of a subject in a human clinical trial for the Issuer's product targeting HER2 ("HER2 Product"), together with prior data and information concerning such product, would be sufficient to support the filing of a Marketing Authorization Application in the U.S. or (b) a foreign clinical trial that is equivalent to clause (a), including any clinical trial indicated to be a Phase 3 trial, (ii) entering into a partnering transaction in which the Issuer grants to a non-affiliate third party exclusive rights to commercialize (or any co-commercialization rights in) a HER2 Product in the U.S. and/or European Union, or (iii) a change in control. The liquidity event was satisfied on October 14, 2026, the effective date of the Issuer's initial public offering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event deadline is March 3, 2033.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PSU represents a contingent right to receive one share of Issuer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Sunny Chang,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30" w:after="0"/>
        <w:jc w:val="center"/>
        <w:rPr>
          <w:b/>
          <w:sz w:val="22"/>
        </w:rPr>
      </w:pPr>
      <w:bookmarkStart w:id="2" w:name="ex24-10142026_101008.htm"/>
      <w:bookmarkStart w:id="3" w:name="ksex2410142026_101008"/>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as a Section 16 reporting person of Iambic Therapeutics, Inc. (the Company), hereby constitutes and appoints Sunny Chang, Dean Geruntino, Jonathan Golightly and Katerina Karaoglanova, and each of them,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60655"/>
                <wp:effectExtent l="0" t="0" r="0" b="0"/>
                <wp:wrapSquare wrapText="right"/>
                <wp:docPr id="5"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14th day of September,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 xml:space="preserve">Signature: </w:t>
      </w:r>
      <w:r>
        <w:rPr>
          <w:sz w:val="22"/>
          <w:u w:val="single"/>
        </w:rPr>
        <w:t>/s/ Thomas Miller</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Print Name: Thomas Miller</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4921" TargetMode="External"/><Relationship Id="rId3" Type="http://schemas.openxmlformats.org/officeDocument/2006/relationships/hyperlink" Target="http://www.sec.gov/cgi-bin/browse-edgar?action=getcompany&amp;CIK=000199703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1109</Words>
  <Characters>5816</Characters>
  <CharactersWithSpaces>6822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