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rFonts w:ascii="Times New Roman" w:hAnsi="Times New Roman"/>
          <w:b/>
          <w:color w:val="000000"/>
          <w:sz w:val="18"/>
        </w:rPr>
      </w:pPr>
      <w:bookmarkStart w:id="0" w:name="iam-20261014.htm"/>
      <w:bookmarkStart w:id="1" w:name="ksiam20261014"/>
      <w:bookmarkEnd w:id="0"/>
      <w:bookmarkEnd w:id="1"/>
      <w:r>
        <w:rPr>
          <w:rFonts w:ascii="Times New Roman" w:hAnsi="Times New Roman"/>
          <w:b/>
          <w:color w:val="000000"/>
          <w:sz w:val="18"/>
        </w:rPr>
        <w:t>As filed with the Securities and Exchange Commission on October 14, 2026</w:t>
      </w:r>
      <w:r>
        <mc:AlternateContent>
          <mc:Choice Requires="wps">
            <w:drawing>
              <wp:anchor behindDoc="0" distT="0" distB="0" distL="0" distR="0" simplePos="0" locked="0" layoutInCell="1" allowOverlap="1" relativeHeight="5">
                <wp:simplePos x="0" y="0"/>
                <wp:positionH relativeFrom="page">
                  <wp:posOffset>2400300</wp:posOffset>
                </wp:positionH>
                <wp:positionV relativeFrom="page">
                  <wp:posOffset>4371975</wp:posOffset>
                </wp:positionV>
                <wp:extent cx="2743200" cy="175260"/>
                <wp:effectExtent l="0" t="0" r="0" b="0"/>
                <wp:wrapNone/>
                <wp:docPr id="1" name="Frame2"/>
                <a:graphic xmlns:a="http://schemas.openxmlformats.org/drawingml/2006/main">
                  <a:graphicData uri="http://schemas.microsoft.com/office/word/2010/wordprocessingShape">
                    <wps:wsp>
                      <wps:cNvSpPr txBox="1"/>
                      <wps:spPr>
                        <a:xfrm>
                          <a:off x="0" y="0"/>
                          <a:ext cx="27432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344.25pt;mso-position-vertical-relative:page;margin-left:18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1600200</wp:posOffset>
                </wp:positionH>
                <wp:positionV relativeFrom="page">
                  <wp:posOffset>1942465</wp:posOffset>
                </wp:positionV>
                <wp:extent cx="2743200" cy="175260"/>
                <wp:effectExtent l="0" t="0" r="0" b="0"/>
                <wp:wrapNone/>
                <wp:docPr id="2" name="Frame1"/>
                <a:graphic xmlns:a="http://schemas.openxmlformats.org/drawingml/2006/main">
                  <a:graphicData uri="http://schemas.microsoft.com/office/word/2010/wordprocessingShape">
                    <wps:wsp>
                      <wps:cNvSpPr txBox="1"/>
                      <wps:spPr>
                        <a:xfrm>
                          <a:off x="0" y="0"/>
                          <a:ext cx="27432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152.95pt;mso-position-vertical-relative:page;margin-left:126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right"/>
        <w:rPr>
          <w:rFonts w:ascii="Times New Roman" w:hAnsi="Times New Roman"/>
          <w:sz w:val="18"/>
        </w:rPr>
      </w:pPr>
      <w:r>
        <w:rPr>
          <w:rFonts w:ascii="Times New Roman" w:hAnsi="Times New Roman"/>
          <w:b/>
          <w:color w:val="000000"/>
          <w:sz w:val="18"/>
        </w:rPr>
        <w:t>Registration No. 333-</w:t>
      </w:r>
      <w:r>
        <w:rPr>
          <w:rFonts w:ascii="Times New Roman" w:hAnsi="Times New Roman"/>
          <w:color w:val="000000"/>
          <w:sz w:val="18"/>
        </w:rPr>
        <w:t xml:space="preserve"> </w:t>
      </w:r>
    </w:p>
    <w:p>
      <w:pPr>
        <w:pStyle w:val="TextBody"/>
        <w:pBdr>
          <w:top w:val="single" w:sz="24" w:space="1" w:color="000000"/>
        </w:pBdr>
        <w:bidi w:val="0"/>
        <w:jc w:val="center"/>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FORM S</w:t>
        <w:noBreakHyphen/>
        <w:t>8</w:t>
      </w:r>
    </w:p>
    <w:p>
      <w:pPr>
        <w:pStyle w:val="TextBody"/>
        <w:bidi w:val="0"/>
        <w:jc w:val="center"/>
        <w:rPr>
          <w:rFonts w:ascii="Times New Roman" w:hAnsi="Times New Roman"/>
          <w:b/>
          <w:color w:val="000000"/>
          <w:sz w:val="22"/>
        </w:rPr>
      </w:pPr>
      <w:r>
        <w:rPr>
          <w:rFonts w:ascii="Times New Roman" w:hAnsi="Times New Roman"/>
          <w:b/>
          <w:color w:val="000000"/>
          <w:sz w:val="22"/>
        </w:rPr>
        <w:t>REGISTRATION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w:t>
      </w:r>
    </w:p>
    <w:p>
      <w:pPr>
        <w:pStyle w:val="TextBody"/>
        <w:bidi w:val="0"/>
        <w:jc w:val="center"/>
        <w:rPr>
          <w:rFonts w:ascii="Times New Roman" w:hAnsi="Times New Roman"/>
          <w:b/>
          <w:color w:val="000000"/>
          <w:sz w:val="22"/>
        </w:rPr>
      </w:pPr>
      <w:r>
        <w:rPr>
          <w:rFonts w:ascii="Times New Roman" w:hAnsi="Times New Roman"/>
          <w:b/>
          <w:color w:val="000000"/>
          <w:sz w:val="22"/>
        </w:rPr>
        <w:t>THE SECURITIES ACT OF 1933</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Iambic Therapeutics,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tbl>
      <w:tblPr>
        <w:tblW w:w="4138" w:type="dxa"/>
        <w:jc w:val="left"/>
        <w:tblInd w:w="0" w:type="dxa"/>
        <w:tblLayout w:type="fixed"/>
        <w:tblCellMar>
          <w:top w:w="28" w:type="dxa"/>
          <w:left w:w="28" w:type="dxa"/>
          <w:bottom w:w="28" w:type="dxa"/>
          <w:right w:w="28" w:type="dxa"/>
        </w:tblCellMar>
      </w:tblPr>
      <w:tblGrid>
        <w:gridCol w:w="2236"/>
        <w:gridCol w:w="146"/>
        <w:gridCol w:w="175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84-3364168</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Number)</w:t>
            </w:r>
          </w:p>
        </w:tc>
      </w:tr>
    </w:tbl>
    <w:p>
      <w:pPr>
        <w:pStyle w:val="TextBody"/>
        <w:bidi w:val="0"/>
        <w:jc w:val="center"/>
        <w:rPr>
          <w:rFonts w:ascii="Times New Roman" w:hAnsi="Times New Roman"/>
          <w:b/>
          <w:color w:val="000000"/>
          <w:sz w:val="20"/>
        </w:rPr>
      </w:pPr>
      <w:r>
        <w:rPr>
          <w:rFonts w:ascii="Times New Roman" w:hAnsi="Times New Roman"/>
          <w:b/>
          <w:color w:val="000000"/>
          <w:sz w:val="20"/>
        </w:rPr>
        <w:t>5627 Oberlin Drive, Suite 120</w:t>
      </w:r>
    </w:p>
    <w:p>
      <w:pPr>
        <w:pStyle w:val="TextBody"/>
        <w:bidi w:val="0"/>
        <w:jc w:val="center"/>
        <w:rPr>
          <w:rFonts w:ascii="Times New Roman" w:hAnsi="Times New Roman"/>
          <w:b/>
          <w:color w:val="000000"/>
          <w:sz w:val="20"/>
        </w:rPr>
      </w:pPr>
      <w:r>
        <w:rPr>
          <w:rFonts w:ascii="Times New Roman" w:hAnsi="Times New Roman"/>
          <w:b/>
          <w:color w:val="000000"/>
          <w:sz w:val="20"/>
        </w:rPr>
        <w:t>San Diego, California 92121</w:t>
      </w:r>
    </w:p>
    <w:p>
      <w:pPr>
        <w:pStyle w:val="TextBody"/>
        <w:bidi w:val="0"/>
        <w:jc w:val="center"/>
        <w:rPr>
          <w:rFonts w:ascii="Times New Roman" w:hAnsi="Times New Roman"/>
          <w:b/>
          <w:color w:val="000000"/>
          <w:sz w:val="20"/>
        </w:rPr>
      </w:pPr>
      <w:r>
        <w:rPr>
          <w:rFonts w:ascii="Times New Roman" w:hAnsi="Times New Roman"/>
          <w:b/>
          <w:color w:val="000000"/>
          <w:sz w:val="20"/>
        </w:rPr>
        <w:t>(619) 330-5499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2026 Equity Incentive Plan</w:t>
      </w:r>
    </w:p>
    <w:p>
      <w:pPr>
        <w:pStyle w:val="TextBody"/>
        <w:bidi w:val="0"/>
        <w:jc w:val="center"/>
        <w:rPr>
          <w:rFonts w:ascii="Times New Roman" w:hAnsi="Times New Roman"/>
          <w:b/>
          <w:color w:val="000000"/>
          <w:sz w:val="18"/>
        </w:rPr>
      </w:pPr>
      <w:r>
        <w:rPr>
          <w:rFonts w:ascii="Times New Roman" w:hAnsi="Times New Roman"/>
          <w:b/>
          <w:color w:val="000000"/>
          <w:sz w:val="18"/>
        </w:rPr>
        <w:t>2026 Employee Stock Purchase Plan</w:t>
      </w:r>
    </w:p>
    <w:p>
      <w:pPr>
        <w:pStyle w:val="TextBody"/>
        <w:bidi w:val="0"/>
        <w:jc w:val="center"/>
        <w:rPr>
          <w:rFonts w:ascii="Times New Roman" w:hAnsi="Times New Roman"/>
          <w:b/>
          <w:color w:val="000000"/>
          <w:sz w:val="18"/>
        </w:rPr>
      </w:pPr>
      <w:r>
        <w:rPr>
          <w:rFonts w:ascii="Times New Roman" w:hAnsi="Times New Roman"/>
          <w:b/>
          <w:color w:val="000000"/>
          <w:sz w:val="18"/>
        </w:rPr>
        <w:t>Amended and Restated 2020 Equity Incentive Plan</w:t>
      </w:r>
    </w:p>
    <w:p>
      <w:pPr>
        <w:pStyle w:val="TextBody"/>
        <w:bidi w:val="0"/>
        <w:jc w:val="center"/>
        <w:rPr>
          <w:rFonts w:ascii="Times New Roman" w:hAnsi="Times New Roman"/>
          <w:color w:val="000000"/>
          <w:sz w:val="16"/>
        </w:rPr>
      </w:pPr>
      <w:r>
        <w:rPr>
          <w:rFonts w:ascii="Times New Roman" w:hAnsi="Times New Roman"/>
          <w:color w:val="000000"/>
          <w:sz w:val="16"/>
        </w:rPr>
        <w:t>(Full title of the plan)</w:t>
      </w:r>
    </w:p>
    <w:p>
      <w:pPr>
        <w:pStyle w:val="TextBody"/>
        <w:bidi w:val="0"/>
        <w:jc w:val="center"/>
        <w:rPr/>
      </w:pPr>
      <w:r>
        <w:rPr/>
        <w:t> </w:t>
      </w:r>
    </w:p>
    <w:p>
      <w:pPr>
        <w:pStyle w:val="TextBody"/>
        <w:bidi w:val="0"/>
        <w:jc w:val="center"/>
        <w:rPr>
          <w:rFonts w:ascii="Times New Roman" w:hAnsi="Times New Roman"/>
          <w:sz w:val="18"/>
        </w:rPr>
      </w:pPr>
      <w:r>
        <w:rPr>
          <w:rFonts w:ascii="Times New Roman" w:hAnsi="Times New Roman"/>
          <w:b/>
          <w:color w:val="000000"/>
          <w:sz w:val="18"/>
        </w:rPr>
        <w:t>Thomas Miller, Ph.D.</w:t>
      </w:r>
      <w:r>
        <w:rPr>
          <w:rFonts w:ascii="Times New Roman" w:hAnsi="Times New Roman"/>
          <w:color w:val="000000"/>
          <w:sz w:val="18"/>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Chief Executive Officer</w:t>
      </w:r>
    </w:p>
    <w:p>
      <w:pPr>
        <w:pStyle w:val="TextBody"/>
        <w:bidi w:val="0"/>
        <w:jc w:val="center"/>
        <w:rPr>
          <w:rFonts w:ascii="Times New Roman" w:hAnsi="Times New Roman"/>
          <w:b/>
          <w:color w:val="000000"/>
          <w:sz w:val="18"/>
        </w:rPr>
      </w:pPr>
      <w:r>
        <w:rPr>
          <w:rFonts w:ascii="Times New Roman" w:hAnsi="Times New Roman"/>
          <w:b/>
          <w:color w:val="000000"/>
          <w:sz w:val="18"/>
        </w:rPr>
        <w:t>5627 Oberlin Drive, Suite 120</w:t>
      </w:r>
    </w:p>
    <w:p>
      <w:pPr>
        <w:pStyle w:val="TextBody"/>
        <w:bidi w:val="0"/>
        <w:jc w:val="center"/>
        <w:rPr>
          <w:rFonts w:ascii="Times New Roman" w:hAnsi="Times New Roman"/>
          <w:b/>
          <w:color w:val="000000"/>
          <w:sz w:val="18"/>
        </w:rPr>
      </w:pPr>
      <w:r>
        <w:rPr>
          <w:rFonts w:ascii="Times New Roman" w:hAnsi="Times New Roman"/>
          <w:b/>
          <w:color w:val="000000"/>
          <w:sz w:val="18"/>
        </w:rPr>
        <w:t>San Diego, California 92121</w:t>
      </w:r>
    </w:p>
    <w:p>
      <w:pPr>
        <w:pStyle w:val="TextBody"/>
        <w:bidi w:val="0"/>
        <w:jc w:val="center"/>
        <w:rPr>
          <w:rFonts w:ascii="Times New Roman" w:hAnsi="Times New Roman"/>
          <w:sz w:val="18"/>
        </w:rPr>
      </w:pPr>
      <w:r>
        <w:rPr>
          <w:rFonts w:ascii="Times New Roman" w:hAnsi="Times New Roman"/>
          <w:b/>
          <w:color w:val="000000"/>
          <w:sz w:val="18"/>
        </w:rPr>
        <w:t>(619) 330-5499</w:t>
      </w:r>
      <w:r>
        <w:rPr>
          <w:rFonts w:ascii="Times New Roman" w:hAnsi="Times New Roman"/>
          <w:color w:val="000000"/>
          <w:sz w:val="18"/>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(Name, address and telephone number, including area code, of agent for service)</w:t>
      </w:r>
    </w:p>
    <w:p>
      <w:pPr>
        <w:pStyle w:val="TextBody"/>
        <w:bidi w:val="0"/>
        <w:spacing w:before="240" w:after="283"/>
        <w:jc w:val="center"/>
        <w:rPr>
          <w:rFonts w:ascii="Times New Roman" w:hAnsi="Times New Roman"/>
          <w:b/>
          <w:i/>
          <w:color w:val="000000"/>
          <w:sz w:val="18"/>
        </w:rPr>
      </w:pPr>
      <w:r>
        <w:rPr>
          <w:rFonts w:ascii="Times New Roman" w:hAnsi="Times New Roman"/>
          <w:b/>
          <w:i/>
          <w:color w:val="000000"/>
          <w:sz w:val="18"/>
        </w:rPr>
        <w:t>Copies to:</w:t>
      </w:r>
    </w:p>
    <w:p>
      <w:pPr>
        <w:pStyle w:val="TextBody"/>
        <w:bidi w:val="0"/>
        <w:jc w:val="center"/>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Patrick J. Schultheis</w:t>
            </w:r>
          </w:p>
          <w:p>
            <w:pPr>
              <w:pStyle w:val="TableContents"/>
              <w:bidi w:val="0"/>
              <w:jc w:val="center"/>
              <w:rPr>
                <w:rFonts w:ascii="Times New Roman" w:hAnsi="Times New Roman"/>
                <w:b/>
                <w:color w:val="000000"/>
                <w:sz w:val="18"/>
              </w:rPr>
            </w:pPr>
            <w:r>
              <w:rPr>
                <w:rFonts w:ascii="Times New Roman" w:hAnsi="Times New Roman"/>
                <w:b/>
                <w:color w:val="000000"/>
                <w:sz w:val="18"/>
              </w:rPr>
              <w:t>Zachary B. Myers</w:t>
            </w:r>
          </w:p>
          <w:p>
            <w:pPr>
              <w:pStyle w:val="TableContents"/>
              <w:bidi w:val="0"/>
              <w:jc w:val="center"/>
              <w:rPr>
                <w:rFonts w:ascii="Times New Roman" w:hAnsi="Times New Roman"/>
                <w:b/>
                <w:color w:val="000000"/>
                <w:sz w:val="18"/>
              </w:rPr>
            </w:pPr>
            <w:r>
              <w:rPr>
                <w:rFonts w:ascii="Times New Roman" w:hAnsi="Times New Roman"/>
                <w:b/>
                <w:color w:val="000000"/>
                <w:sz w:val="18"/>
              </w:rPr>
              <w:t>Christina L. Poulsen</w:t>
            </w:r>
          </w:p>
          <w:p>
            <w:pPr>
              <w:pStyle w:val="TableContents"/>
              <w:bidi w:val="0"/>
              <w:jc w:val="center"/>
              <w:rPr>
                <w:rFonts w:ascii="Times New Roman" w:hAnsi="Times New Roman"/>
                <w:b/>
                <w:color w:val="000000"/>
                <w:sz w:val="18"/>
              </w:rPr>
            </w:pPr>
            <w:r>
              <w:rPr>
                <w:rFonts w:ascii="Times New Roman" w:hAnsi="Times New Roman"/>
                <w:b/>
                <w:color w:val="000000"/>
                <w:sz w:val="18"/>
              </w:rPr>
              <w:t>Victor T. Nilsson</w:t>
            </w:r>
          </w:p>
          <w:p>
            <w:pPr>
              <w:pStyle w:val="TableContents"/>
              <w:bidi w:val="0"/>
              <w:jc w:val="center"/>
              <w:rPr>
                <w:rFonts w:ascii="Times New Roman" w:hAnsi="Times New Roman"/>
                <w:b/>
                <w:color w:val="000000"/>
                <w:sz w:val="18"/>
              </w:rPr>
            </w:pPr>
            <w:r>
              <w:rPr>
                <w:rFonts w:ascii="Times New Roman" w:hAnsi="Times New Roman"/>
                <w:b/>
                <w:color w:val="000000"/>
                <w:sz w:val="18"/>
              </w:rPr>
              <w:t>Wilson Sonsini Goodrich &amp; Rosati</w:t>
            </w:r>
          </w:p>
          <w:p>
            <w:pPr>
              <w:pStyle w:val="TableContents"/>
              <w:bidi w:val="0"/>
              <w:jc w:val="center"/>
              <w:rPr>
                <w:rFonts w:ascii="Times New Roman" w:hAnsi="Times New Roman"/>
                <w:b/>
                <w:color w:val="000000"/>
                <w:sz w:val="18"/>
              </w:rPr>
            </w:pPr>
            <w:r>
              <w:rPr>
                <w:rFonts w:ascii="Times New Roman" w:hAnsi="Times New Roman"/>
                <w:b/>
                <w:color w:val="000000"/>
                <w:sz w:val="18"/>
              </w:rPr>
              <w:t>Professional Corporation</w:t>
            </w:r>
          </w:p>
          <w:p>
            <w:pPr>
              <w:pStyle w:val="TableContents"/>
              <w:bidi w:val="0"/>
              <w:jc w:val="center"/>
              <w:rPr>
                <w:rFonts w:ascii="Times New Roman" w:hAnsi="Times New Roman"/>
                <w:b/>
                <w:color w:val="000000"/>
                <w:sz w:val="18"/>
              </w:rPr>
            </w:pPr>
            <w:r>
              <w:rPr>
                <w:rFonts w:ascii="Times New Roman" w:hAnsi="Times New Roman"/>
                <w:b/>
                <w:color w:val="000000"/>
                <w:sz w:val="18"/>
              </w:rPr>
              <w:t>12235 El Camino Real</w:t>
            </w:r>
          </w:p>
          <w:p>
            <w:pPr>
              <w:pStyle w:val="TableContents"/>
              <w:bidi w:val="0"/>
              <w:jc w:val="center"/>
              <w:rPr>
                <w:rFonts w:ascii="Times New Roman" w:hAnsi="Times New Roman"/>
                <w:b/>
                <w:color w:val="000000"/>
                <w:sz w:val="18"/>
              </w:rPr>
            </w:pPr>
            <w:r>
              <w:rPr>
                <w:rFonts w:ascii="Times New Roman" w:hAnsi="Times New Roman"/>
                <w:b/>
                <w:color w:val="000000"/>
                <w:sz w:val="18"/>
              </w:rPr>
              <w:t>San Diego, California 92130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(858) 350-2300</w:t>
            </w:r>
          </w:p>
        </w:tc>
      </w:tr>
    </w:tbl>
    <w:p>
      <w:pPr>
        <w:pStyle w:val="TextBody"/>
        <w:bidi w:val="0"/>
        <w:jc w:val="center"/>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27" w:type="dxa"/>
        <w:jc w:val="left"/>
        <w:tblInd w:w="0" w:type="dxa"/>
        <w:tblLayout w:type="fixed"/>
        <w:tblCellMar>
          <w:top w:w="28" w:type="dxa"/>
          <w:left w:w="28" w:type="dxa"/>
          <w:bottom w:w="28" w:type="dxa"/>
          <w:right w:w="28" w:type="dxa"/>
        </w:tblCellMar>
      </w:tblPr>
      <w:tblGrid>
        <w:gridCol w:w="186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Smaller reporting company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Emerging growth company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2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w:t>
        <w:noBreakHyphen/>
        <w:t>8, taken together, constitute a prospectus that meets the requirements of Section 10(a) of the Securities Act.</w:t>
      </w:r>
    </w:p>
    <w:p>
      <w:pPr>
        <w:pStyle w:val="TextBody"/>
        <w:bidi w:val="0"/>
        <w:spacing w:before="240" w:after="283"/>
        <w:jc w:val="center"/>
        <w:rPr>
          <w:rFonts w:ascii="Times New Roman" w:hAnsi="Times New Roman"/>
          <w:b/>
          <w:color w:val="000000"/>
          <w:sz w:val="20"/>
        </w:rPr>
      </w:pPr>
      <w:bookmarkStart w:id="2" w:name="part_ii"/>
      <w:bookmarkEnd w:id="2"/>
      <w:r>
        <w:rPr>
          <w:rFonts w:ascii="Times New Roman" w:hAnsi="Times New Roman"/>
          <w:b/>
          <w:color w:val="000000"/>
          <w:sz w:val="20"/>
        </w:rPr>
        <w:t>PART II</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3_incorporation_documents_by_refere"/>
      <w:bookmarkEnd w:id="3"/>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Incorporation of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Iambic Therapeutics, Inc. (the “Registrant”) hereby incorporates by reference into this Registration Statement the following documents previously filed with the Securities and Exchange Commission (the “Commission”): </w:t>
      </w:r>
    </w:p>
    <w:p>
      <w:pPr>
        <w:pStyle w:val="TextBody"/>
        <w:bidi w:val="0"/>
        <w:spacing w:before="240" w:after="283"/>
        <w:jc w:val="left"/>
        <w:rPr/>
      </w:pPr>
      <w:r>
        <w:rPr>
          <w:rFonts w:ascii="Times New Roman" w:hAnsi="Times New Roman"/>
          <w:color w:val="000000"/>
          <w:sz w:val="20"/>
        </w:rPr>
        <w:t xml:space="preserve">(1) Amendment No. 1 to the Registrant’s Registration Statement on </w:t>
      </w:r>
      <w:hyperlink r:id="rId2">
        <w:r>
          <w:rPr>
            <w:rStyle w:val="InternetLink"/>
            <w:rFonts w:ascii="Times New Roman" w:hAnsi="Times New Roman"/>
            <w:color w:val="0000FF"/>
            <w:sz w:val="20"/>
            <w:u w:val="single"/>
          </w:rPr>
          <w:t>Form S-1</w:t>
        </w:r>
      </w:hyperlink>
      <w:r>
        <w:rPr>
          <w:rFonts w:ascii="Times New Roman" w:hAnsi="Times New Roman"/>
          <w:color w:val="000000"/>
          <w:sz w:val="20"/>
        </w:rPr>
        <w:t xml:space="preserve"> filed with the Commission on October 8, 2026 which contains the Registrant’s audited financial statements for the latest fiscal year for which such statements have been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Registrant’s Prospectus to be filed with the Commission on or about October 15, 2026 pursuant to Rule 424(b) under the Securities Act, relating to the Registration Statement on Form S-1, as amended (File No. 333-299057); and</w:t>
      </w:r>
    </w:p>
    <w:p>
      <w:pPr>
        <w:pStyle w:val="TextBody"/>
        <w:bidi w:val="0"/>
        <w:spacing w:before="240" w:after="283"/>
        <w:jc w:val="left"/>
        <w:rPr/>
      </w:pPr>
      <w:r>
        <w:rPr>
          <w:rFonts w:ascii="Times New Roman" w:hAnsi="Times New Roman"/>
          <w:color w:val="000000"/>
          <w:sz w:val="20"/>
        </w:rPr>
        <w:t xml:space="preserve">(3) The description of the Registrant’s Common Stock contained in the Registrant’s Registration Statement on </w:t>
      </w:r>
      <w:hyperlink r:id="rId3">
        <w:r>
          <w:rPr>
            <w:rStyle w:val="InternetLink"/>
            <w:rFonts w:ascii="Times New Roman" w:hAnsi="Times New Roman"/>
            <w:color w:val="0000FF"/>
            <w:sz w:val="20"/>
            <w:u w:val="single"/>
          </w:rPr>
          <w:t>Form 8-A</w:t>
        </w:r>
      </w:hyperlink>
      <w:r>
        <w:rPr>
          <w:rFonts w:ascii="Times New Roman" w:hAnsi="Times New Roman"/>
          <w:color w:val="000000"/>
          <w:sz w:val="20"/>
        </w:rPr>
        <w:t xml:space="preserve"> (File No. 001-43509), filed with the Commission on October 13, 2026 pursuant to Section 12(b) of the Securities Exchange Act of 1934, as amended (the “Exchange Act”), including any amendment or report filed for the purpose of updating such description.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160" w:after="283"/>
        <w:jc w:val="left"/>
        <w:rPr>
          <w:rFonts w:ascii="Times New Roman" w:hAnsi="Times New Roman"/>
          <w:sz w:val="20"/>
        </w:rPr>
      </w:pPr>
      <w:bookmarkStart w:id="4" w:name="item_4_description_securities"/>
      <w:bookmarkEnd w:id="4"/>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Description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60" w:after="283"/>
        <w:jc w:val="left"/>
        <w:rPr>
          <w:rFonts w:ascii="Times New Roman" w:hAnsi="Times New Roman"/>
          <w:sz w:val="20"/>
        </w:rPr>
      </w:pPr>
      <w:bookmarkStart w:id="5" w:name="item_5_interests_named_experts_counsel"/>
      <w:bookmarkEnd w:id="5"/>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Interests of Named Experts and Counsel.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validity of the issuance of the shares of the Registrant’s Common Stock offered hereby has been passed upon by Wilson Sonsini Goodrich &amp; Rosati, Professional Corporation (“WSGR”). Investment partnerships comprised of members of, and persons associated with, WSGR, directly or indirectly, own less than 1% of the outstanding shares of the Registrant's Common Stock.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item_6_indemnification_directors_ficers"/>
      <w:bookmarkEnd w:id="6"/>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Indemnification of Directors and Officers.</w:t>
      </w:r>
    </w:p>
    <w:p>
      <w:pPr>
        <w:pStyle w:val="TextBody"/>
        <w:bidi w:val="0"/>
        <w:spacing w:before="240" w:after="283"/>
        <w:jc w:val="left"/>
        <w:rPr>
          <w:rFonts w:ascii="Times New Roman" w:hAnsi="Times New Roman"/>
          <w:color w:val="000000"/>
          <w:sz w:val="20"/>
        </w:rPr>
      </w:pPr>
      <w:bookmarkStart w:id="7" w:name="t0"/>
      <w:bookmarkEnd w:id="7"/>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amended and restated certificate of incorporation, which will become effective upon completion of our initial public offering and which will contain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amended and restated bylaws, which will become effective upon completion of our initial public offering, will provide that we will indemnify our directors and officers, and may indemnify our employees, agents and any other persons, to the fullest extent permitted by the Delaware General Corporation Law. Our amended and restated bylaws will also provide that we must advance expenses incurred by or on behalf of a director or officer in advance of the final disposition of any action or proceeding, subject to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of liability and indemnification provisions that will be included in our amended and restated certificate of incorporation, amended and restated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spacing w:before="160" w:after="283"/>
        <w:jc w:val="left"/>
        <w:rPr>
          <w:rFonts w:ascii="Times New Roman" w:hAnsi="Times New Roman"/>
          <w:sz w:val="20"/>
        </w:rPr>
      </w:pPr>
      <w:bookmarkStart w:id="8" w:name="item_7_exemption_from_registration_claim"/>
      <w:bookmarkEnd w:id="8"/>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color w:val="000000"/>
          <w:sz w:val="20"/>
        </w:rPr>
        <w:t>Exemption from Registration Claimed.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2"/>
        <w:gridCol w:w="109"/>
        <w:gridCol w:w="4784"/>
        <w:gridCol w:w="511"/>
        <w:gridCol w:w="877"/>
        <w:gridCol w:w="1027"/>
        <w:gridCol w:w="678"/>
        <w:gridCol w:w="109"/>
        <w:gridCol w:w="1068"/>
      </w:tblGrid>
      <w:tr>
        <w:trPr/>
        <w:tc>
          <w:tcPr>
            <w:tcW w:w="104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84"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77" w:type="dxa"/>
            <w:tcBorders/>
            <w:shd w:fill="FFFFFF" w:val="clear"/>
            <w:vAlign w:val="center"/>
          </w:tcPr>
          <w:p>
            <w:pPr>
              <w:pStyle w:val="TableContents"/>
              <w:bidi w:val="0"/>
              <w:spacing w:before="0" w:after="283"/>
              <w:jc w:val="left"/>
              <w:rPr>
                <w:sz w:val="4"/>
                <w:szCs w:val="4"/>
              </w:rPr>
            </w:pPr>
            <w:r>
              <w:rPr>
                <w:sz w:val="4"/>
                <w:szCs w:val="4"/>
              </w:rPr>
            </w:r>
          </w:p>
        </w:tc>
        <w:tc>
          <w:tcPr>
            <w:tcW w:w="1027" w:type="dxa"/>
            <w:tcBorders/>
            <w:shd w:fill="FFFFFF" w:val="clear"/>
            <w:vAlign w:val="center"/>
          </w:tcPr>
          <w:p>
            <w:pPr>
              <w:pStyle w:val="TableContents"/>
              <w:bidi w:val="0"/>
              <w:spacing w:before="0" w:after="283"/>
              <w:jc w:val="left"/>
              <w:rPr>
                <w:sz w:val="4"/>
                <w:szCs w:val="4"/>
              </w:rPr>
            </w:pPr>
            <w:r>
              <w:rPr>
                <w:sz w:val="4"/>
                <w:szCs w:val="4"/>
              </w:rPr>
            </w:r>
          </w:p>
        </w:tc>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r>
      <w:tr>
        <w:trPr/>
        <w:tc>
          <w:tcPr>
            <w:tcW w:w="1151" w:type="dxa"/>
            <w:gridSpan w:val="2"/>
            <w:tcBorders/>
            <w:tcMar>
              <w:top w:w="0" w:type="dxa"/>
              <w:left w:w="0" w:type="dxa"/>
              <w:bottom w:w="0" w:type="dxa"/>
              <w:right w:w="0" w:type="dxa"/>
            </w:tcMar>
            <w:vAlign w:val="center"/>
          </w:tcPr>
          <w:p>
            <w:pPr>
              <w:pStyle w:val="TableContents"/>
              <w:bidi w:val="0"/>
              <w:spacing w:before="0" w:after="60"/>
              <w:jc w:val="center"/>
              <w:rPr/>
            </w:pPr>
            <w:r>
              <w:rPr/>
              <w:t> </w:t>
            </w:r>
          </w:p>
        </w:tc>
        <w:tc>
          <w:tcPr>
            <w:tcW w:w="4784" w:type="dxa"/>
            <w:tcBorders/>
            <w:tcMar>
              <w:top w:w="0" w:type="dxa"/>
              <w:left w:w="0" w:type="dxa"/>
              <w:bottom w:w="0" w:type="dxa"/>
              <w:right w:w="0" w:type="dxa"/>
            </w:tcMar>
            <w:vAlign w:val="center"/>
          </w:tcPr>
          <w:p>
            <w:pPr>
              <w:pStyle w:val="TableContents"/>
              <w:bidi w:val="0"/>
              <w:spacing w:before="0" w:after="60"/>
              <w:jc w:val="center"/>
              <w:rPr/>
            </w:pPr>
            <w:r>
              <w:rPr/>
              <w:t> </w:t>
            </w:r>
          </w:p>
        </w:tc>
        <w:tc>
          <w:tcPr>
            <w:tcW w:w="3093" w:type="dxa"/>
            <w:gridSpan w:val="4"/>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Incorporated by Reference</w:t>
            </w:r>
          </w:p>
        </w:tc>
        <w:tc>
          <w:tcPr>
            <w:tcW w:w="1177" w:type="dxa"/>
            <w:gridSpan w:val="2"/>
            <w:tcBorders/>
            <w:tcMar>
              <w:top w:w="0" w:type="dxa"/>
              <w:left w:w="0" w:type="dxa"/>
              <w:bottom w:w="0" w:type="dxa"/>
              <w:right w:w="0" w:type="dxa"/>
            </w:tcMar>
            <w:vAlign w:val="center"/>
          </w:tcPr>
          <w:p>
            <w:pPr>
              <w:pStyle w:val="TableContents"/>
              <w:bidi w:val="0"/>
              <w:spacing w:before="0" w:after="60"/>
              <w:jc w:val="center"/>
              <w:rPr/>
            </w:pPr>
            <w:r>
              <w:rPr/>
              <w:t> </w:t>
            </w:r>
          </w:p>
        </w:tc>
      </w:tr>
      <w:tr>
        <w:trPr/>
        <w:tc>
          <w:tcPr>
            <w:tcW w:w="1042"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Exhibit Number</w:t>
            </w:r>
          </w:p>
        </w:tc>
        <w:tc>
          <w:tcPr>
            <w:tcW w:w="4893"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Exhibit Description</w:t>
            </w:r>
          </w:p>
        </w:tc>
        <w:tc>
          <w:tcPr>
            <w:tcW w:w="511"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Form</w:t>
            </w:r>
          </w:p>
        </w:tc>
        <w:tc>
          <w:tcPr>
            <w:tcW w:w="877"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File Number</w:t>
            </w:r>
          </w:p>
        </w:tc>
        <w:tc>
          <w:tcPr>
            <w:tcW w:w="1027"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Exhibit Number</w:t>
            </w:r>
          </w:p>
        </w:tc>
        <w:tc>
          <w:tcPr>
            <w:tcW w:w="787"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Filing Date</w:t>
            </w:r>
          </w:p>
        </w:tc>
        <w:tc>
          <w:tcPr>
            <w:tcW w:w="1068"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b/>
                <w:color w:val="000000"/>
                <w:sz w:val="17"/>
              </w:rPr>
            </w:pPr>
            <w:r>
              <w:rPr>
                <w:rFonts w:ascii="Times New Roman" w:hAnsi="Times New Roman"/>
                <w:b/>
                <w:color w:val="000000"/>
                <w:sz w:val="17"/>
              </w:rPr>
              <w:t>Filed Herewith</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5.1</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w:anchor="iam-ex5_1.htm">
              <w:r>
                <w:rPr>
                  <w:rStyle w:val="InternetLink"/>
                  <w:rFonts w:ascii="Times New Roman" w:hAnsi="Times New Roman"/>
                  <w:color w:val="0000FF"/>
                  <w:sz w:val="17"/>
                  <w:u w:val="single"/>
                </w:rPr>
                <w:t>Opinion of Wilson Sonsini Goodrich &amp; Rosati, Professional Corporation</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23.1</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w:anchor="iam-ex23_1.htm">
              <w:r>
                <w:rPr>
                  <w:rStyle w:val="InternetLink"/>
                  <w:rFonts w:ascii="Times New Roman" w:hAnsi="Times New Roman"/>
                  <w:color w:val="0000FF"/>
                  <w:sz w:val="17"/>
                  <w:u w:val="single"/>
                </w:rPr>
                <w:t>Consent of Independent Registered Public Accounting Firm</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23.2</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w:anchor="iam-ex5_1.htm">
              <w:r>
                <w:rPr>
                  <w:rStyle w:val="InternetLink"/>
                  <w:rFonts w:ascii="Times New Roman" w:hAnsi="Times New Roman"/>
                  <w:color w:val="0000FF"/>
                  <w:sz w:val="17"/>
                  <w:u w:val="single"/>
                </w:rPr>
                <w:t>Consent of Wilson Sonsini Goodrich &amp; Rosati, Professional Corporation (contained in Exhibit 5.1 hereto)</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24.1</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7"/>
                  <w:u w:val="single"/>
                </w:rPr>
                <w:t>Power of Attorney (included on the signature page hereto)</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99.1</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7"/>
                  <w:u w:val="single"/>
                </w:rPr>
                <w:t>2026 Equity Incentive Plan and related form agreements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333-299057</w:t>
            </w:r>
          </w:p>
        </w:tc>
        <w:tc>
          <w:tcPr>
            <w:tcW w:w="10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10.3</w:t>
            </w:r>
          </w:p>
        </w:tc>
        <w:tc>
          <w:tcPr>
            <w:tcW w:w="6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10/8/2026</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99.2</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7"/>
                  <w:u w:val="single"/>
                </w:rPr>
                <w:t>2026 Employee Stock Purchase Plan and related form agreements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S-1/A</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333-299057</w:t>
            </w:r>
          </w:p>
        </w:tc>
        <w:tc>
          <w:tcPr>
            <w:tcW w:w="10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10.4</w:t>
            </w:r>
          </w:p>
        </w:tc>
        <w:tc>
          <w:tcPr>
            <w:tcW w:w="6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10/8/2026</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99.3</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7"/>
                  <w:u w:val="single"/>
                </w:rPr>
                <w:t>Amended and Restated 2020 Equity Incentive Plan and related form agreements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S-1</w:t>
            </w:r>
          </w:p>
        </w:tc>
        <w:tc>
          <w:tcPr>
            <w:tcW w:w="8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333-299057</w:t>
            </w:r>
          </w:p>
        </w:tc>
        <w:tc>
          <w:tcPr>
            <w:tcW w:w="10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10.2</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9/21/2026</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107</w:t>
            </w:r>
          </w:p>
        </w:tc>
        <w:tc>
          <w:tcPr>
            <w:tcW w:w="4784" w:type="dxa"/>
            <w:tcBorders/>
            <w:tcMar>
              <w:top w:w="0" w:type="dxa"/>
              <w:left w:w="0" w:type="dxa"/>
              <w:bottom w:w="0" w:type="dxa"/>
              <w:right w:w="0" w:type="dxa"/>
            </w:tcMar>
            <w:vAlign w:val="center"/>
          </w:tcPr>
          <w:p>
            <w:pPr>
              <w:pStyle w:val="TableContents"/>
              <w:bidi w:val="0"/>
              <w:spacing w:before="0" w:after="283"/>
              <w:jc w:val="left"/>
              <w:rPr/>
            </w:pPr>
            <w:hyperlink w:anchor="iam-exfiling_fees.htm">
              <w:r>
                <w:rPr>
                  <w:rStyle w:val="InternetLink"/>
                  <w:rFonts w:ascii="Times New Roman" w:hAnsi="Times New Roman"/>
                  <w:color w:val="0000FF"/>
                  <w:sz w:val="17"/>
                  <w:u w:val="single"/>
                </w:rPr>
                <w:t>Filing Fee Table</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240" w:after="283"/>
        <w:ind w:left="0" w:right="0" w:firstLine="36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240" w:after="283"/>
        <w:ind w:left="0" w:right="0" w:firstLine="108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240" w:after="283"/>
        <w:ind w:left="0" w:right="0" w:firstLine="216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240" w:after="283"/>
        <w:ind w:left="0" w:right="0" w:firstLine="2160"/>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pStyle w:val="TextBody"/>
        <w:bidi w:val="0"/>
        <w:spacing w:before="240" w:after="283"/>
        <w:ind w:left="0" w:right="0" w:firstLine="216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40" w:after="283"/>
        <w:ind w:left="0" w:right="0" w:firstLine="1080"/>
        <w:jc w:val="left"/>
        <w:rPr>
          <w:rFonts w:ascii="Times New Roman" w:hAnsi="Times New Roman"/>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offering thereof.</w:t>
      </w:r>
    </w:p>
    <w:p>
      <w:pPr>
        <w:pStyle w:val="TextBody"/>
        <w:bidi w:val="0"/>
        <w:spacing w:before="240" w:after="283"/>
        <w:ind w:left="0" w:right="0" w:firstLine="108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240" w:after="283"/>
        <w:ind w:left="0" w:right="0" w:firstLine="360"/>
        <w:jc w:val="left"/>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240" w:after="283"/>
        <w:ind w:left="0" w:right="0" w:firstLine="360"/>
        <w:jc w:val="left"/>
        <w:rPr>
          <w:rFonts w:ascii="Times New Roman" w:hAnsi="Times New Roman"/>
          <w:color w:val="000000"/>
          <w:sz w:val="20"/>
        </w:rPr>
      </w:pPr>
      <w:bookmarkStart w:id="9" w:name="signatures"/>
      <w:bookmarkEnd w:id="9"/>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October 14, 2026.</w:t>
      </w:r>
    </w:p>
    <w:p>
      <w:pPr>
        <w:pStyle w:val="TextBody"/>
        <w:bidi w:val="0"/>
        <w:spacing w:before="240" w:after="283"/>
        <w:jc w:val="left"/>
        <w:rPr/>
      </w:pPr>
      <w:r>
        <w:rPr/>
        <w:t> </w:t>
      </w:r>
    </w:p>
    <w:tbl>
      <w:tblPr>
        <w:tblW w:w="2954" w:type="dxa"/>
        <w:jc w:val="left"/>
        <w:tblInd w:w="0" w:type="dxa"/>
        <w:tblLayout w:type="fixed"/>
        <w:tblCellMar>
          <w:top w:w="28" w:type="dxa"/>
          <w:left w:w="28" w:type="dxa"/>
          <w:bottom w:w="28" w:type="dxa"/>
          <w:right w:w="28" w:type="dxa"/>
        </w:tblCellMar>
      </w:tblPr>
      <w:tblGrid>
        <w:gridCol w:w="463"/>
        <w:gridCol w:w="160"/>
        <w:gridCol w:w="2331"/>
      </w:tblGrid>
      <w:tr>
        <w:trPr/>
        <w:tc>
          <w:tcPr>
            <w:tcW w:w="4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IAMBIC THERAPEUTICS, INC.</w:t>
            </w:r>
          </w:p>
        </w:tc>
      </w:tr>
      <w:tr>
        <w:trPr/>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Thomas Miller, Ph.D.</w:t>
            </w:r>
          </w:p>
        </w:tc>
      </w:tr>
      <w:tr>
        <w:trPr/>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Miller, Ph.D.</w:t>
            </w:r>
          </w:p>
        </w:tc>
      </w:tr>
      <w:tr>
        <w:trPr/>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0" w:after="240"/>
        <w:ind w:left="0" w:right="0" w:firstLine="3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Thomas Miller, Ph.D. and Michael Secora, Ph.D.,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spacing w:before="240" w:after="283"/>
        <w:jc w:val="left"/>
        <w:rPr/>
      </w:pPr>
      <w:r>
        <w:rPr/>
        <w:t> </w:t>
      </w:r>
    </w:p>
    <w:tbl>
      <w:tblPr>
        <w:tblW w:w="7638" w:type="dxa"/>
        <w:jc w:val="left"/>
        <w:tblInd w:w="0" w:type="dxa"/>
        <w:tblLayout w:type="fixed"/>
        <w:tblCellMar>
          <w:top w:w="28" w:type="dxa"/>
          <w:left w:w="28" w:type="dxa"/>
          <w:bottom w:w="28" w:type="dxa"/>
          <w:right w:w="28" w:type="dxa"/>
        </w:tblCellMar>
      </w:tblPr>
      <w:tblGrid>
        <w:gridCol w:w="2356"/>
        <w:gridCol w:w="3721"/>
        <w:gridCol w:w="1561"/>
      </w:tblGrid>
      <w:tr>
        <w:trPr/>
        <w:tc>
          <w:tcPr>
            <w:tcW w:w="235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372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56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Thomas Miller, Ph.D. </w:t>
              <w:br/>
            </w:r>
            <w:r>
              <w:rPr>
                <w:rFonts w:ascii="Times New Roman" w:hAnsi="Times New Roman"/>
                <w:color w:val="000000"/>
                <w:sz w:val="20"/>
              </w:rPr>
              <w:t>Thomas Miller, Ph.D.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Director </w:t>
              <w:br/>
              <w:t>(Principal Executive Officer)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Michael Secora, Ph.D. </w:t>
              <w:br/>
            </w:r>
            <w:r>
              <w:rPr>
                <w:rFonts w:ascii="Times New Roman" w:hAnsi="Times New Roman"/>
                <w:color w:val="000000"/>
                <w:sz w:val="20"/>
              </w:rPr>
              <w:t>Michael Secora, Ph.D.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br/>
              <w:t>(Principal Financial and Accounting Officer)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Samit Hirawat, M.D. </w:t>
              <w:br/>
            </w:r>
            <w:r>
              <w:rPr>
                <w:rFonts w:ascii="Times New Roman" w:hAnsi="Times New Roman"/>
                <w:color w:val="000000"/>
                <w:sz w:val="20"/>
              </w:rPr>
              <w:t>Samit Hirawat, M.D.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Frederick Manby, Ph.D. </w:t>
              <w:br/>
            </w:r>
            <w:r>
              <w:rPr>
                <w:rFonts w:ascii="Times New Roman" w:hAnsi="Times New Roman"/>
                <w:color w:val="000000"/>
                <w:sz w:val="20"/>
              </w:rPr>
              <w:t>Frederick Manby, Ph.D.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Evan Rachlin, M.D. </w:t>
              <w:br/>
            </w:r>
            <w:r>
              <w:rPr>
                <w:rFonts w:ascii="Times New Roman" w:hAnsi="Times New Roman"/>
                <w:color w:val="000000"/>
                <w:sz w:val="20"/>
              </w:rPr>
              <w:t>Evan Rachlin, M.D.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William Rastetter, Ph.D. </w:t>
              <w:br/>
            </w:r>
            <w:r>
              <w:rPr>
                <w:rFonts w:ascii="Times New Roman" w:hAnsi="Times New Roman"/>
                <w:color w:val="000000"/>
                <w:sz w:val="20"/>
              </w:rPr>
              <w:t>William Rastetter, Ph.D.</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Shalini Sharp </w:t>
              <w:br/>
            </w:r>
            <w:r>
              <w:rPr>
                <w:rFonts w:ascii="Times New Roman" w:hAnsi="Times New Roman"/>
                <w:color w:val="000000"/>
                <w:sz w:val="20"/>
              </w:rPr>
              <w:t>Shalini Sharp</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HorizontalLine"/>
        <w:pBdr>
          <w:bottom w:val="double" w:sz="2" w:space="0" w:color="808080"/>
        </w:pBdr>
        <w:bidi w:val="0"/>
        <w:spacing w:before="0" w:after="283"/>
        <w:jc w:val="left"/>
        <w:rPr/>
      </w:pPr>
      <w:r>
        <w:rPr/>
      </w:r>
    </w:p>
    <w:tbl>
      <w:tblPr>
        <w:tblW w:w="4878" w:type="dxa"/>
        <w:jc w:val="left"/>
        <w:tblInd w:w="0" w:type="dxa"/>
        <w:tblLayout w:type="fixed"/>
        <w:tblCellMar>
          <w:top w:w="28" w:type="dxa"/>
          <w:left w:w="28" w:type="dxa"/>
          <w:bottom w:w="28" w:type="dxa"/>
          <w:right w:w="28" w:type="dxa"/>
        </w:tblCellMar>
      </w:tblPr>
      <w:tblGrid>
        <w:gridCol w:w="2551"/>
        <w:gridCol w:w="766"/>
        <w:gridCol w:w="1561"/>
      </w:tblGrid>
      <w:tr>
        <w:trPr/>
        <w:tc>
          <w:tcPr>
            <w:tcW w:w="25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Mary Tagliaferri, M.D. </w:t>
              <w:br/>
            </w:r>
            <w:r>
              <w:rPr>
                <w:rFonts w:ascii="Times New Roman" w:hAnsi="Times New Roman"/>
                <w:color w:val="000000"/>
                <w:sz w:val="20"/>
              </w:rPr>
              <w:t>Mary Tagliaferri, M.D.</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R. Jacob Vogelstein, Ph.D. </w:t>
              <w:br/>
            </w:r>
            <w:r>
              <w:rPr>
                <w:rFonts w:ascii="Times New Roman" w:hAnsi="Times New Roman"/>
                <w:color w:val="000000"/>
                <w:sz w:val="20"/>
              </w:rPr>
              <w:t>R. Jacob Vogelstein, Ph.D.</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 xml:space="preserve">/s/ Kurt von Emster </w:t>
              <w:br/>
            </w:r>
            <w:r>
              <w:rPr>
                <w:rFonts w:ascii="Times New Roman" w:hAnsi="Times New Roman"/>
                <w:color w:val="000000"/>
                <w:sz w:val="20"/>
              </w:rPr>
              <w:t>Kurt von Emster</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2026</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0" w:name="iam-ex5_1.htm"/>
      <w:bookmarkStart w:id="11" w:name="ksiamex5_1"/>
      <w:bookmarkEnd w:id="10"/>
      <w:bookmarkEnd w:id="11"/>
      <w:r>
        <w:rPr>
          <w:rFonts w:ascii="Times New Roman" w:hAnsi="Times New Roman"/>
          <w:b/>
          <w:color w:val="000000"/>
          <w:sz w:val="20"/>
        </w:rPr>
        <w:t>E</w:t>
      </w:r>
      <w:r>
        <w:rPr>
          <w:rFonts w:ascii="Times New Roman" w:hAnsi="Times New Roman"/>
          <w:b/>
          <w:color w:val="181818"/>
          <w:sz w:val="20"/>
        </w:rPr>
        <w:t>xhibit</w:t>
      </w:r>
      <w:r>
        <w:rPr>
          <w:rFonts w:ascii="Times New Roman" w:hAnsi="Times New Roman"/>
          <w:color w:val="000000"/>
          <w:sz w:val="20"/>
        </w:rPr>
        <w:t xml:space="preserve"> </w:t>
      </w:r>
      <w:r>
        <w:rPr>
          <w:rFonts w:ascii="Times New Roman" w:hAnsi="Times New Roman"/>
          <w:b/>
          <w:color w:val="000000"/>
          <w:sz w:val="20"/>
        </w:rPr>
        <w:t>5.1</w:t>
      </w:r>
      <w:r>
        <w:br w:type="page"/>
      </w:r>
    </w:p>
    <w:p>
      <w:pPr>
        <w:pStyle w:val="TextBody"/>
        <w:bidi w:val="0"/>
        <w:jc w:val="right"/>
        <w:rPr/>
      </w:pPr>
      <w:r>
        <w:rPr/>
        <w:t> </w:t>
      </w:r>
    </w:p>
    <w:tbl>
      <w:tblPr>
        <w:tblW w:w="8118" w:type="dxa"/>
        <w:jc w:val="left"/>
        <w:tblInd w:w="0" w:type="dxa"/>
        <w:tblLayout w:type="fixed"/>
        <w:tblCellMar>
          <w:top w:w="28" w:type="dxa"/>
          <w:left w:w="28" w:type="dxa"/>
          <w:bottom w:w="28" w:type="dxa"/>
          <w:right w:w="28" w:type="dxa"/>
        </w:tblCellMar>
      </w:tblPr>
      <w:tblGrid>
        <w:gridCol w:w="3749"/>
        <w:gridCol w:w="4369"/>
      </w:tblGrid>
      <w:tr>
        <w:trPr/>
        <w:tc>
          <w:tcPr>
            <w:tcW w:w="3749" w:type="dxa"/>
            <w:tcBorders/>
            <w:vAlign w:val="center"/>
          </w:tcPr>
          <w:p>
            <w:pPr>
              <w:pStyle w:val="TableContents"/>
              <w:bidi w:val="0"/>
              <w:spacing w:before="0" w:after="283"/>
              <w:jc w:val="left"/>
              <w:rPr>
                <w:sz w:val="4"/>
                <w:szCs w:val="4"/>
              </w:rPr>
            </w:pPr>
            <w:r>
              <w:rPr>
                <w:sz w:val="4"/>
                <w:szCs w:val="4"/>
              </w:rPr>
            </w:r>
          </w:p>
        </w:tc>
        <w:tc>
          <w:tcPr>
            <w:tcW w:w="4369" w:type="dxa"/>
            <w:tcBorders/>
            <w:vAlign w:val="center"/>
          </w:tcPr>
          <w:p>
            <w:pPr>
              <w:pStyle w:val="TableContents"/>
              <w:bidi w:val="0"/>
              <w:spacing w:before="0" w:after="283"/>
              <w:jc w:val="left"/>
              <w:rPr>
                <w:sz w:val="4"/>
                <w:szCs w:val="4"/>
              </w:rPr>
            </w:pPr>
            <w:r>
              <w:rPr>
                <w:sz w:val="4"/>
                <w:szCs w:val="4"/>
              </w:rPr>
            </w:r>
          </w:p>
        </w:tc>
      </w:tr>
      <w:tr>
        <w:trPr/>
        <w:tc>
          <w:tcPr>
            <w:tcW w:w="3749" w:type="dxa"/>
            <w:tcBorders/>
            <w:tcMar>
              <w:top w:w="0" w:type="dxa"/>
              <w:left w:w="0" w:type="dxa"/>
              <w:bottom w:w="0" w:type="dxa"/>
              <w:right w:w="0" w:type="dxa"/>
            </w:tcMar>
            <w:vAlign w:val="center"/>
          </w:tcPr>
          <w:p>
            <w:pPr>
              <w:pStyle w:val="TableContents"/>
              <w:bidi w:val="0"/>
              <w:spacing w:before="120" w:after="283"/>
              <w:ind w:left="0" w:right="0" w:firstLine="1728"/>
              <w:jc w:val="left"/>
              <w:rPr/>
            </w:pPr>
            <w:r>
              <w:rPr/>
              <w:drawing>
                <wp:inline distT="0" distB="0" distL="0" distR="0">
                  <wp:extent cx="12192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1219200" cy="457200"/>
                          </a:xfrm>
                          <a:prstGeom prst="rect">
                            <a:avLst/>
                          </a:prstGeom>
                        </pic:spPr>
                      </pic:pic>
                    </a:graphicData>
                  </a:graphic>
                </wp:inline>
              </w:drawing>
            </w:r>
          </w:p>
        </w:tc>
        <w:tc>
          <w:tcPr>
            <w:tcW w:w="4369" w:type="dxa"/>
            <w:tcBorders/>
            <w:tcMar>
              <w:top w:w="0" w:type="dxa"/>
              <w:left w:w="0" w:type="dxa"/>
              <w:bottom w:w="0" w:type="dxa"/>
              <w:right w:w="0" w:type="dxa"/>
            </w:tcMar>
            <w:vAlign w:val="center"/>
          </w:tcPr>
          <w:p>
            <w:pPr>
              <w:pStyle w:val="TableContents"/>
              <w:bidi w:val="0"/>
              <w:spacing w:before="120" w:after="283"/>
              <w:ind w:left="0" w:right="0" w:firstLine="1728"/>
              <w:jc w:val="left"/>
              <w:rPr>
                <w:rFonts w:ascii="Georgia;serif" w:hAnsi="Georgia;serif"/>
                <w:color w:val="003D4C"/>
                <w:sz w:val="16"/>
              </w:rPr>
            </w:pPr>
            <w:r>
              <w:rPr>
                <w:rFonts w:ascii="Georgia;serif" w:hAnsi="Georgia;serif"/>
                <w:color w:val="003D4C"/>
                <w:sz w:val="16"/>
              </w:rPr>
              <w:t>Wilson Sonsini Goodrich &amp; Rosati</w:t>
              <w:br/>
              <w:t>Professional Corporation</w:t>
            </w:r>
          </w:p>
          <w:p>
            <w:pPr>
              <w:pStyle w:val="TableContents"/>
              <w:bidi w:val="0"/>
              <w:spacing w:before="80" w:after="283"/>
              <w:ind w:left="0" w:right="0" w:firstLine="1728"/>
              <w:jc w:val="left"/>
              <w:rPr>
                <w:rFonts w:ascii="Georgia;serif" w:hAnsi="Georgia;serif"/>
                <w:color w:val="003D4C"/>
                <w:sz w:val="16"/>
              </w:rPr>
            </w:pPr>
            <w:r>
              <w:rPr>
                <w:rFonts w:ascii="Georgia;serif" w:hAnsi="Georgia;serif"/>
                <w:color w:val="003D4C"/>
                <w:sz w:val="16"/>
              </w:rPr>
              <w:t>12235 El Camino Real</w:t>
              <w:br/>
              <w:t>San Diego, California 92130</w:t>
            </w:r>
          </w:p>
          <w:p>
            <w:pPr>
              <w:pStyle w:val="TableContents"/>
              <w:bidi w:val="0"/>
              <w:spacing w:before="80" w:after="283"/>
              <w:ind w:left="0" w:right="0" w:firstLine="1728"/>
              <w:jc w:val="left"/>
              <w:rPr>
                <w:rFonts w:ascii="Georgia;serif" w:hAnsi="Georgia;serif"/>
                <w:sz w:val="16"/>
              </w:rPr>
            </w:pPr>
            <w:r>
              <w:rPr>
                <w:rFonts w:ascii="Georgia;serif" w:hAnsi="Georgia;serif"/>
                <w:smallCaps/>
                <w:color w:val="003D4C"/>
                <w:sz w:val="16"/>
              </w:rPr>
              <w:t>o</w:t>
            </w:r>
            <w:r>
              <w:rPr>
                <w:rFonts w:ascii="Georgia;serif" w:hAnsi="Georgia;serif"/>
                <w:color w:val="003D4C"/>
                <w:sz w:val="16"/>
              </w:rPr>
              <w:t>: 858.350.2300</w:t>
              <w:br/>
            </w:r>
            <w:r>
              <w:rPr>
                <w:rFonts w:ascii="Georgia;serif" w:hAnsi="Georgia;serif"/>
                <w:smallCaps/>
                <w:color w:val="003D4C"/>
                <w:sz w:val="16"/>
              </w:rPr>
              <w:t>f</w:t>
            </w:r>
            <w:r>
              <w:rPr>
                <w:rFonts w:ascii="Georgia;serif" w:hAnsi="Georgia;serif"/>
                <w:color w:val="003D4C"/>
                <w:sz w:val="16"/>
              </w:rPr>
              <w:t>: 858.350.2399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October 14,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Iambic Therapeutics, Inc.</w:t>
      </w:r>
    </w:p>
    <w:p>
      <w:pPr>
        <w:pStyle w:val="TextBody"/>
        <w:bidi w:val="0"/>
        <w:jc w:val="left"/>
        <w:rPr>
          <w:rFonts w:ascii="Times New Roman" w:hAnsi="Times New Roman"/>
          <w:color w:val="000000"/>
          <w:sz w:val="20"/>
        </w:rPr>
      </w:pPr>
      <w:r>
        <w:rPr>
          <w:rFonts w:ascii="Times New Roman" w:hAnsi="Times New Roman"/>
          <w:color w:val="000000"/>
          <w:sz w:val="20"/>
        </w:rPr>
        <w:t>5627 Oberlin Drive, Suite 120</w:t>
      </w:r>
    </w:p>
    <w:p>
      <w:pPr>
        <w:pStyle w:val="TextBody"/>
        <w:bidi w:val="0"/>
        <w:jc w:val="left"/>
        <w:rPr>
          <w:rFonts w:ascii="Times New Roman" w:hAnsi="Times New Roman"/>
          <w:color w:val="000000"/>
          <w:sz w:val="20"/>
        </w:rPr>
      </w:pPr>
      <w:r>
        <w:rPr>
          <w:rFonts w:ascii="Times New Roman" w:hAnsi="Times New Roman"/>
          <w:color w:val="000000"/>
          <w:sz w:val="20"/>
        </w:rPr>
        <w:t>San Diego, California 92121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 Registration Statement on Form S-8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examined the Registration Statement on Form S-8 (the “Registration Statement”) to be filed by Iambic Therapeutics, Inc., a Delaware corporation, with the Securities and Exchange Commission on or about the date hereof, in connection with the registration under the Securities Act of 1933, as amended, of an aggregate of 11,534,850 shares of the Company’s common stock, par value $0.001 per share (“Common Stock”), consisting of: (i) 4,085,875 shares of Common Stock reserved for issuance pursuant to the 2026 Equity Incentive Plan, (ii) 2,918,492 shares of Common Stock that are subject to currently outstanding options under the 2026 Equity Incentive Plan, (iii) 490,000 shares of Common Stock reserved for issuance pursuant to the 2026 Employee Stock Purchase Plan, (iv) 3,405,695 shares of Common Stock that are subject to currently outstanding options under the Amended and Restated 2020 Equity Incentive Plan, and (v) 634,788 shares of Common Stock that are subject to restricted stock units outstanding under the Amended and Restated 2020 Equity Incentive Plan (which plans are referred to herein as the “Plans” and which shares of Common Stock are referred to herein as the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basis of the foregoing, and in reliance thereon, we are of the opinion that the Shares, when issued and sold in the manner described in the Plans and pursuant to the agreements that accompany the Plans, will be legally and validly issued, fully paid and nonassessable.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hereby consent to the filing of this opinion as an exhibit to the above-referenced Registration Statement and to the use of our name wherever it appears in the Registration Statement and in any amendments thereto. In giving such consent, we do not thereby admit that we are in the category of persons whose consent is required under Section 7 of the Act or the rules and regulations of the Commission thereunder.</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WILSON SONSINI GOODRICH &amp; ROSATI</w:t>
        <w:br/>
        <w:t>Professional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Wilson Sonsini Goodrich &amp; Rosati, P.C.</w:t>
      </w:r>
    </w:p>
    <w:p>
      <w:pPr>
        <w:pStyle w:val="TextBody"/>
        <w:bidi w:val="0"/>
        <w:spacing w:before="60" w:after="60"/>
        <w:jc w:val="center"/>
        <w:rPr>
          <w:rFonts w:ascii="Times New Roman" w:hAnsi="Times New Roman"/>
          <w:caps/>
          <w:color w:val="003D4C"/>
          <w:sz w:val="14"/>
        </w:rPr>
      </w:pPr>
      <w:r>
        <w:rPr>
          <w:rFonts w:ascii="Times New Roman" w:hAnsi="Times New Roman"/>
          <w:caps/>
          <w:color w:val="003D4C"/>
          <w:sz w:val="14"/>
        </w:rPr>
        <w:t>austin boston BOULDER brussels CENTURY CITY hong kong london los angeles new york palo alto</w:t>
        <w:br/>
        <w:t>SALT LAKE CITY san diego san francisco seattle shanghai washington, dc wilmington, 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2" w:name="iam-ex23_1.htm"/>
      <w:bookmarkStart w:id="13" w:name="ksiamex23_1"/>
      <w:bookmarkEnd w:id="12"/>
      <w:bookmarkEnd w:id="13"/>
      <w:r>
        <w:rPr>
          <w:rFonts w:ascii="Times New Roman" w:hAnsi="Times New Roman"/>
          <w:b/>
          <w:color w:val="000000"/>
          <w:sz w:val="20"/>
        </w:rPr>
        <w:t>Exhibit 23.1</w:t>
      </w:r>
      <w:r>
        <w:br w:type="page"/>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 dated July 24, 2026 (October 8, 2026, as to the effects of the reverse stock split as described in Note 11) relating to the financial statements of Iambic Therapeutics, Inc., and subsidiaries, appearing in the Registration Statement No. 333-299057 on Form S-1 of Iambic Therapeutics,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October 14,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4" w:name="iam-exfiling_fees.htm"/>
      <w:bookmarkStart w:id="15" w:name="ksiamexfiling_fees"/>
      <w:bookmarkStart w:id="16" w:name="iam-exfiling_fees.htm"/>
      <w:bookmarkStart w:id="17" w:name="ksiamexfiling_fees"/>
      <w:bookmarkEnd w:id="16"/>
      <w:bookmarkEnd w:id="17"/>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Iambic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207"/>
        <w:gridCol w:w="1276"/>
        <w:gridCol w:w="1186"/>
        <w:gridCol w:w="1157"/>
        <w:gridCol w:w="1786"/>
        <w:gridCol w:w="1006"/>
        <w:gridCol w:w="140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par value $0.001 per share, reserved for issuance pursuant to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4,085,875 </w:t>
            </w:r>
          </w:p>
        </w:tc>
        <w:tc>
          <w:tcPr>
            <w:tcW w:w="1157" w:type="dxa"/>
            <w:tcBorders/>
            <w:shd w:fill="E7E7E2" w:val="clear"/>
            <w:vAlign w:val="center"/>
          </w:tcPr>
          <w:p>
            <w:pPr>
              <w:pStyle w:val="TableContents"/>
              <w:bidi w:val="0"/>
              <w:spacing w:before="0" w:after="283"/>
              <w:jc w:val="right"/>
              <w:rPr/>
            </w:pPr>
            <w:r>
              <w:rPr/>
              <w:t xml:space="preserve">$ 16.00 </w:t>
            </w:r>
          </w:p>
        </w:tc>
        <w:tc>
          <w:tcPr>
            <w:tcW w:w="1786" w:type="dxa"/>
            <w:tcBorders/>
            <w:shd w:fill="E7E7E2" w:val="clear"/>
            <w:vAlign w:val="center"/>
          </w:tcPr>
          <w:p>
            <w:pPr>
              <w:pStyle w:val="TableContents"/>
              <w:bidi w:val="0"/>
              <w:spacing w:before="0" w:after="283"/>
              <w:jc w:val="right"/>
              <w:rPr/>
            </w:pPr>
            <w:r>
              <w:rPr/>
              <w:t xml:space="preserve">$ 65,374,000.00 </w:t>
            </w:r>
          </w:p>
        </w:tc>
        <w:tc>
          <w:tcPr>
            <w:tcW w:w="1006" w:type="dxa"/>
            <w:tcBorders/>
            <w:shd w:fill="E7E7E2" w:val="clear"/>
            <w:vAlign w:val="center"/>
          </w:tcPr>
          <w:p>
            <w:pPr>
              <w:pStyle w:val="TableContents"/>
              <w:bidi w:val="0"/>
              <w:spacing w:before="0" w:after="283"/>
              <w:jc w:val="right"/>
              <w:rPr/>
            </w:pPr>
            <w:r>
              <w:rPr/>
              <w:t xml:space="preserve">0.000087 </w:t>
            </w:r>
          </w:p>
        </w:tc>
        <w:tc>
          <w:tcPr>
            <w:tcW w:w="1400" w:type="dxa"/>
            <w:tcBorders/>
            <w:shd w:fill="E7E7E2" w:val="clear"/>
            <w:vAlign w:val="center"/>
          </w:tcPr>
          <w:p>
            <w:pPr>
              <w:pStyle w:val="TableContents"/>
              <w:bidi w:val="0"/>
              <w:spacing w:before="0" w:after="283"/>
              <w:jc w:val="right"/>
              <w:rPr/>
            </w:pPr>
            <w:r>
              <w:rPr/>
              <w:t xml:space="preserve">$ 5,687.54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par value $0.001 per share, reserved for issuance pursuant to options outstanding under the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2,918,492 </w:t>
            </w:r>
          </w:p>
        </w:tc>
        <w:tc>
          <w:tcPr>
            <w:tcW w:w="1157" w:type="dxa"/>
            <w:tcBorders/>
            <w:shd w:fill="E7E7E2" w:val="clear"/>
            <w:vAlign w:val="center"/>
          </w:tcPr>
          <w:p>
            <w:pPr>
              <w:pStyle w:val="TableContents"/>
              <w:bidi w:val="0"/>
              <w:spacing w:before="0" w:after="283"/>
              <w:jc w:val="right"/>
              <w:rPr/>
            </w:pPr>
            <w:r>
              <w:rPr/>
              <w:t xml:space="preserve">$ 16.00 </w:t>
            </w:r>
          </w:p>
        </w:tc>
        <w:tc>
          <w:tcPr>
            <w:tcW w:w="1786" w:type="dxa"/>
            <w:tcBorders/>
            <w:shd w:fill="E7E7E2" w:val="clear"/>
            <w:vAlign w:val="center"/>
          </w:tcPr>
          <w:p>
            <w:pPr>
              <w:pStyle w:val="TableContents"/>
              <w:bidi w:val="0"/>
              <w:spacing w:before="0" w:after="283"/>
              <w:jc w:val="right"/>
              <w:rPr/>
            </w:pPr>
            <w:r>
              <w:rPr/>
              <w:t xml:space="preserve">$ 46,695,872.00 </w:t>
            </w:r>
          </w:p>
        </w:tc>
        <w:tc>
          <w:tcPr>
            <w:tcW w:w="1006" w:type="dxa"/>
            <w:tcBorders/>
            <w:shd w:fill="E7E7E2" w:val="clear"/>
            <w:vAlign w:val="center"/>
          </w:tcPr>
          <w:p>
            <w:pPr>
              <w:pStyle w:val="TableContents"/>
              <w:bidi w:val="0"/>
              <w:spacing w:before="0" w:after="283"/>
              <w:jc w:val="right"/>
              <w:rPr/>
            </w:pPr>
            <w:r>
              <w:rPr/>
              <w:t xml:space="preserve">0.000087 </w:t>
            </w:r>
          </w:p>
        </w:tc>
        <w:tc>
          <w:tcPr>
            <w:tcW w:w="1400" w:type="dxa"/>
            <w:tcBorders/>
            <w:shd w:fill="E7E7E2" w:val="clear"/>
            <w:vAlign w:val="center"/>
          </w:tcPr>
          <w:p>
            <w:pPr>
              <w:pStyle w:val="TableContents"/>
              <w:bidi w:val="0"/>
              <w:spacing w:before="0" w:after="283"/>
              <w:jc w:val="right"/>
              <w:rPr/>
            </w:pPr>
            <w:r>
              <w:rPr/>
              <w:t xml:space="preserve">$ 4,062.54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par value $0.001 per share, reserved for issuance pursuant to the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490,000 </w:t>
            </w:r>
          </w:p>
        </w:tc>
        <w:tc>
          <w:tcPr>
            <w:tcW w:w="1157" w:type="dxa"/>
            <w:tcBorders/>
            <w:shd w:fill="E7E7E2" w:val="clear"/>
            <w:vAlign w:val="center"/>
          </w:tcPr>
          <w:p>
            <w:pPr>
              <w:pStyle w:val="TableContents"/>
              <w:bidi w:val="0"/>
              <w:spacing w:before="0" w:after="283"/>
              <w:jc w:val="right"/>
              <w:rPr/>
            </w:pPr>
            <w:r>
              <w:rPr/>
              <w:t xml:space="preserve">$ 13.60 </w:t>
            </w:r>
          </w:p>
        </w:tc>
        <w:tc>
          <w:tcPr>
            <w:tcW w:w="1786" w:type="dxa"/>
            <w:tcBorders/>
            <w:shd w:fill="E7E7E2" w:val="clear"/>
            <w:vAlign w:val="center"/>
          </w:tcPr>
          <w:p>
            <w:pPr>
              <w:pStyle w:val="TableContents"/>
              <w:bidi w:val="0"/>
              <w:spacing w:before="0" w:after="283"/>
              <w:jc w:val="right"/>
              <w:rPr/>
            </w:pPr>
            <w:r>
              <w:rPr/>
              <w:t xml:space="preserve">$ 6,664,000.00 </w:t>
            </w:r>
          </w:p>
        </w:tc>
        <w:tc>
          <w:tcPr>
            <w:tcW w:w="1006" w:type="dxa"/>
            <w:tcBorders/>
            <w:shd w:fill="E7E7E2" w:val="clear"/>
            <w:vAlign w:val="center"/>
          </w:tcPr>
          <w:p>
            <w:pPr>
              <w:pStyle w:val="TableContents"/>
              <w:bidi w:val="0"/>
              <w:spacing w:before="0" w:after="283"/>
              <w:jc w:val="right"/>
              <w:rPr/>
            </w:pPr>
            <w:r>
              <w:rPr/>
              <w:t xml:space="preserve">0.000087 </w:t>
            </w:r>
          </w:p>
        </w:tc>
        <w:tc>
          <w:tcPr>
            <w:tcW w:w="1400" w:type="dxa"/>
            <w:tcBorders/>
            <w:shd w:fill="E7E7E2" w:val="clear"/>
            <w:vAlign w:val="center"/>
          </w:tcPr>
          <w:p>
            <w:pPr>
              <w:pStyle w:val="TableContents"/>
              <w:bidi w:val="0"/>
              <w:spacing w:before="0" w:after="283"/>
              <w:jc w:val="right"/>
              <w:rPr/>
            </w:pPr>
            <w:r>
              <w:rPr/>
              <w:t xml:space="preserve">$ 579.77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par value $0.001 per share, reserved for issuance pursuant to options outstanding under the Amended and Restated 2020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3,405,695 </w:t>
            </w:r>
          </w:p>
        </w:tc>
        <w:tc>
          <w:tcPr>
            <w:tcW w:w="1157" w:type="dxa"/>
            <w:tcBorders/>
            <w:shd w:fill="E7E7E2" w:val="clear"/>
            <w:vAlign w:val="center"/>
          </w:tcPr>
          <w:p>
            <w:pPr>
              <w:pStyle w:val="TableContents"/>
              <w:bidi w:val="0"/>
              <w:spacing w:before="0" w:after="283"/>
              <w:jc w:val="right"/>
              <w:rPr/>
            </w:pPr>
            <w:r>
              <w:rPr/>
              <w:t xml:space="preserve">$ 7.42 </w:t>
            </w:r>
          </w:p>
        </w:tc>
        <w:tc>
          <w:tcPr>
            <w:tcW w:w="1786" w:type="dxa"/>
            <w:tcBorders/>
            <w:shd w:fill="E7E7E2" w:val="clear"/>
            <w:vAlign w:val="center"/>
          </w:tcPr>
          <w:p>
            <w:pPr>
              <w:pStyle w:val="TableContents"/>
              <w:bidi w:val="0"/>
              <w:spacing w:before="0" w:after="283"/>
              <w:jc w:val="right"/>
              <w:rPr/>
            </w:pPr>
            <w:r>
              <w:rPr/>
              <w:t xml:space="preserve">$ 25,270,256.90 </w:t>
            </w:r>
          </w:p>
        </w:tc>
        <w:tc>
          <w:tcPr>
            <w:tcW w:w="1006" w:type="dxa"/>
            <w:tcBorders/>
            <w:shd w:fill="E7E7E2" w:val="clear"/>
            <w:vAlign w:val="center"/>
          </w:tcPr>
          <w:p>
            <w:pPr>
              <w:pStyle w:val="TableContents"/>
              <w:bidi w:val="0"/>
              <w:spacing w:before="0" w:after="283"/>
              <w:jc w:val="right"/>
              <w:rPr/>
            </w:pPr>
            <w:r>
              <w:rPr/>
              <w:t xml:space="preserve">0.000087 </w:t>
            </w:r>
          </w:p>
        </w:tc>
        <w:tc>
          <w:tcPr>
            <w:tcW w:w="1400" w:type="dxa"/>
            <w:tcBorders/>
            <w:shd w:fill="E7E7E2" w:val="clear"/>
            <w:vAlign w:val="center"/>
          </w:tcPr>
          <w:p>
            <w:pPr>
              <w:pStyle w:val="TableContents"/>
              <w:bidi w:val="0"/>
              <w:spacing w:before="0" w:after="283"/>
              <w:jc w:val="right"/>
              <w:rPr/>
            </w:pPr>
            <w:r>
              <w:rPr/>
              <w:t xml:space="preserve">$ 2,198.51 </w:t>
            </w:r>
          </w:p>
        </w:tc>
      </w:tr>
      <w:tr>
        <w:trPr/>
        <w:tc>
          <w:tcPr>
            <w:tcW w:w="241"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par value $0.001 per share, reserved for issuance pursuant to restricted stock units outstanding under the Amended and Restated 2020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634,788 </w:t>
            </w:r>
          </w:p>
        </w:tc>
        <w:tc>
          <w:tcPr>
            <w:tcW w:w="1157" w:type="dxa"/>
            <w:tcBorders/>
            <w:shd w:fill="E7E7E2" w:val="clear"/>
            <w:vAlign w:val="center"/>
          </w:tcPr>
          <w:p>
            <w:pPr>
              <w:pStyle w:val="TableContents"/>
              <w:bidi w:val="0"/>
              <w:spacing w:before="0" w:after="283"/>
              <w:jc w:val="right"/>
              <w:rPr/>
            </w:pPr>
            <w:r>
              <w:rPr/>
              <w:t xml:space="preserve">$ 16.00 </w:t>
            </w:r>
          </w:p>
        </w:tc>
        <w:tc>
          <w:tcPr>
            <w:tcW w:w="1786" w:type="dxa"/>
            <w:tcBorders/>
            <w:shd w:fill="E7E7E2" w:val="clear"/>
            <w:vAlign w:val="center"/>
          </w:tcPr>
          <w:p>
            <w:pPr>
              <w:pStyle w:val="TableContents"/>
              <w:bidi w:val="0"/>
              <w:spacing w:before="0" w:after="283"/>
              <w:jc w:val="right"/>
              <w:rPr/>
            </w:pPr>
            <w:r>
              <w:rPr/>
              <w:t xml:space="preserve">$ 10,156,608.00 </w:t>
            </w:r>
          </w:p>
        </w:tc>
        <w:tc>
          <w:tcPr>
            <w:tcW w:w="1006" w:type="dxa"/>
            <w:tcBorders/>
            <w:shd w:fill="E7E7E2" w:val="clear"/>
            <w:vAlign w:val="center"/>
          </w:tcPr>
          <w:p>
            <w:pPr>
              <w:pStyle w:val="TableContents"/>
              <w:bidi w:val="0"/>
              <w:spacing w:before="0" w:after="283"/>
              <w:jc w:val="right"/>
              <w:rPr/>
            </w:pPr>
            <w:r>
              <w:rPr/>
              <w:t xml:space="preserve">0.000087 </w:t>
            </w:r>
          </w:p>
        </w:tc>
        <w:tc>
          <w:tcPr>
            <w:tcW w:w="1400" w:type="dxa"/>
            <w:tcBorders/>
            <w:shd w:fill="E7E7E2" w:val="clear"/>
            <w:vAlign w:val="center"/>
          </w:tcPr>
          <w:p>
            <w:pPr>
              <w:pStyle w:val="TableContents"/>
              <w:bidi w:val="0"/>
              <w:spacing w:before="0" w:after="283"/>
              <w:jc w:val="right"/>
              <w:rPr/>
            </w:pPr>
            <w:r>
              <w:rPr/>
              <w:t xml:space="preserve">$ 883.62 </w:t>
            </w:r>
          </w:p>
        </w:tc>
      </w:tr>
      <w:tr>
        <w:trPr/>
        <w:tc>
          <w:tcPr>
            <w:tcW w:w="4856"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8" w:name="MaxAggtOfferingPrice"/>
            <w:bookmarkEnd w:id="18"/>
            <w:r>
              <w:rPr/>
              <w:t xml:space="preserve">$ 154,160,736.90 </w:t>
            </w:r>
          </w:p>
        </w:tc>
        <w:tc>
          <w:tcPr>
            <w:tcW w:w="1006" w:type="dxa"/>
            <w:tcBorders/>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9" w:name="TotalFeeAmt"/>
            <w:bookmarkEnd w:id="19"/>
            <w:r>
              <w:rPr/>
              <w:t xml:space="preserve">$ 13,411.98 </w:t>
            </w:r>
          </w:p>
        </w:tc>
      </w:tr>
      <w:tr>
        <w:trPr/>
        <w:tc>
          <w:tcPr>
            <w:tcW w:w="4856"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0"/>
              <w:ind w:left="0" w:right="0" w:hanging="0"/>
              <w:jc w:val="right"/>
              <w:rPr/>
            </w:pPr>
            <w:bookmarkStart w:id="20" w:name="TotalOffsetAmt"/>
            <w:bookmarkEnd w:id="20"/>
            <w:r>
              <w:rPr/>
              <w:t xml:space="preserve">$ 0.00 </w:t>
            </w:r>
          </w:p>
        </w:tc>
      </w:tr>
      <w:tr>
        <w:trPr/>
        <w:tc>
          <w:tcPr>
            <w:tcW w:w="4856"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0"/>
              <w:ind w:left="0" w:right="0" w:hanging="0"/>
              <w:jc w:val="right"/>
              <w:rPr/>
            </w:pPr>
            <w:bookmarkStart w:id="21" w:name="NetFeeAmt"/>
            <w:bookmarkEnd w:id="21"/>
            <w:r>
              <w:rPr/>
              <w:t xml:space="preserve">$ 13,411.98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645"/>
        <w:gridCol w:w="836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(A) Pursuant to Rule 416(a) of the Securities Act of 1933, as amended (the "Securities Act"), this registration statement on Form S-8 (the "Registration Statement") shall also cover any additional shares of the Registrant's common stock, par value $0.001 per share (the "Common Stock") that become issuable with respect to the securities identified in the above table under the Registrant's 2026 Equity Incentive Plan (the "2026 EIP"), the 2026 Employee Stock Purchase Plan (the "ESPP"), and the Amended and Restated 2020 Equity Incentive Plan (the "2020 Plan") by reason of any stock dividend, stock split, recapitalization or other similar transaction effected without the Registrant's receipt of consideration which results in an increase in the number of outstanding shares of Common Stock. (B) Represents 4,085,875 shares of Common Stock reserved for issuance, after deducting options granted thereunder, under the 2026 EIP as of the date of this Registration Statement. The number of shares of Common Stock available for issuance under the 2026 EIP will be increased by any shares of Common Stock subject to awards outstanding under the 2020 Plan that, on or after the effectiveness of the 2026 EIP, expire or otherwise terminate without having been exercised in full, are tendered to or withheld for payment of an exercise price or for tax withholding obligations, or are forfeited to or repurchased by the Registrant due to failure to vest. The maximum number of shares that can be added to the 2026 EIP from the 2020 Plan pursuant to the foregoing is 4,040,483. See footnote 4(A) and 5 below. (C) Estimated in accordance with Rule 457(h) of the Securities Act solely for the purpose of calculating the registration fee, based on the initial public offering price of the Common Stock of $16.00 per share (the "IPO Price"). </w:t>
            </w:r>
          </w:p>
        </w:tc>
      </w:tr>
      <w:tr>
        <w:trPr/>
        <w:tc>
          <w:tcPr>
            <w:tcW w:w="1843" w:type="dxa"/>
            <w:gridSpan w:val="2"/>
            <w:tcBorders/>
            <w:vAlign w:val="center"/>
          </w:tcPr>
          <w:p>
            <w:pPr>
              <w:pStyle w:val="HorizontalLine"/>
              <w:pBdr>
                <w:bottom w:val="double" w:sz="2" w:space="0" w:color="808080"/>
              </w:pBdr>
              <w:bidi w:val="0"/>
              <w:spacing w:before="0" w:after="283"/>
              <w:jc w:val="left"/>
              <w:rPr/>
            </w:pPr>
            <w:r>
              <w:rPr/>
            </w:r>
          </w:p>
        </w:tc>
        <w:tc>
          <w:tcPr>
            <w:tcW w:w="836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(2) See footnote 1(A). (A) Represents 2,918,492 shares of Common Stock reserved for issuance pursuant to options outstanding under the 2026 EIP as of the date of this Registration Statement. To the extent that any shares subject to awards under the 2026 EIP (x) expire or otherwise terminate without having been issued or (y) are settled in cash, the shares of Common Stock subject to such awards will become available for issuance under the 2026 EIP. (B) Estimated in accordance with Rule 457(h) of the Securities Act solely for the purpose of calculating the registration fee on the basis of $16.00, which is the weighted average exercise price per share of outstanding stock option awards under the 2026 EIP as of the date of this Registration Statement. </w:t>
            </w:r>
          </w:p>
        </w:tc>
      </w:tr>
      <w:tr>
        <w:trPr/>
        <w:tc>
          <w:tcPr>
            <w:tcW w:w="1843" w:type="dxa"/>
            <w:gridSpan w:val="2"/>
            <w:tcBorders/>
            <w:vAlign w:val="center"/>
          </w:tcPr>
          <w:p>
            <w:pPr>
              <w:pStyle w:val="HorizontalLine"/>
              <w:pBdr>
                <w:bottom w:val="double" w:sz="2" w:space="0" w:color="808080"/>
              </w:pBdr>
              <w:bidi w:val="0"/>
              <w:spacing w:before="0" w:after="283"/>
              <w:jc w:val="left"/>
              <w:rPr/>
            </w:pPr>
            <w:r>
              <w:rPr/>
            </w:r>
          </w:p>
        </w:tc>
        <w:tc>
          <w:tcPr>
            <w:tcW w:w="836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(3) See footnote 1(A). (A) Represents the shares of Common Stock reserved for issuance under the ESPP. (B) Estimated in accordance with Rule 457(h) of the Securities Act solely for the purpose of calculating the registration fee on the basis of 85% of $16.00, which is the IPO Price. Pursuant to the ESPP, the purchase price of the shares of Common Stock reserved for issuance thereunder will be 85% of the lower of the fair market value of the Common Stock on the first trading day of the offering period or on the exercise date. </w:t>
            </w:r>
          </w:p>
        </w:tc>
      </w:tr>
      <w:tr>
        <w:trPr/>
        <w:tc>
          <w:tcPr>
            <w:tcW w:w="1843" w:type="dxa"/>
            <w:gridSpan w:val="2"/>
            <w:tcBorders/>
            <w:vAlign w:val="center"/>
          </w:tcPr>
          <w:p>
            <w:pPr>
              <w:pStyle w:val="HorizontalLine"/>
              <w:pBdr>
                <w:bottom w:val="double" w:sz="2" w:space="0" w:color="808080"/>
              </w:pBdr>
              <w:bidi w:val="0"/>
              <w:spacing w:before="0" w:after="283"/>
              <w:jc w:val="left"/>
              <w:rPr/>
            </w:pPr>
            <w:r>
              <w:rPr/>
            </w:r>
          </w:p>
        </w:tc>
        <w:tc>
          <w:tcPr>
            <w:tcW w:w="836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(4) See footnote 1(A). (A) Represents 3,405,695 shares of Common Stock reserved for issuance pursuant to options outstanding under the 2020 Plan as of the date of this Registration Statement. To the extent that, on or after the effectiveness of the 2026 EIP, any shares subject to awards under the 2020 Plan expire or otherwise terminate without having been exercised in full or are forfeited to or repurchased by the Registrant due to failure to vest, the shares of Common Stock subject to such awards will become available for issuance under the 2026 EIP. See footnote 1(B) above. (B) Estimated in accordance with Rule 457(h) of the Securities Act solely for the purpose of calculating the registration fee on the basis of $7.42 per share, which is the weighted-average exercise price of options to purchase Common Stock outstanding under the 2020 Plan as of the date of this Registration Statement. </w:t>
            </w:r>
          </w:p>
        </w:tc>
      </w:tr>
      <w:tr>
        <w:trPr/>
        <w:tc>
          <w:tcPr>
            <w:tcW w:w="1843" w:type="dxa"/>
            <w:gridSpan w:val="2"/>
            <w:tcBorders/>
            <w:vAlign w:val="center"/>
          </w:tcPr>
          <w:p>
            <w:pPr>
              <w:pStyle w:val="HorizontalLine"/>
              <w:pBdr>
                <w:bottom w:val="double" w:sz="2" w:space="0" w:color="808080"/>
              </w:pBdr>
              <w:bidi w:val="0"/>
              <w:spacing w:before="0" w:after="283"/>
              <w:jc w:val="left"/>
              <w:rPr/>
            </w:pPr>
            <w:r>
              <w:rPr/>
            </w:r>
          </w:p>
        </w:tc>
        <w:tc>
          <w:tcPr>
            <w:tcW w:w="836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(5) Represents 634,788 shares of Common Stock reserved for issuance pursuant to restricted stock units outstanding under the 2020 Plan as of the date of this Registration Statement. To the extent that, on or after the effectiveness of the 2026 EIP, any shares subject to such awards under the 2020 Plan are cancelled, expire or otherwise terminate without having been issued in full, are tendered to or withheld by the Registrant for tax withholding obligations, or are forfeited to or repurchased by the Registrant due to failure to vest, will become available for issuance under the 2026 EIP. See footnote 1(B) above. </w:t>
            </w:r>
          </w:p>
        </w:tc>
      </w:tr>
      <w:tr>
        <w:trPr/>
        <w:tc>
          <w:tcPr>
            <w:tcW w:w="1843" w:type="dxa"/>
            <w:gridSpan w:val="2"/>
            <w:tcBorders/>
            <w:vAlign w:val="center"/>
          </w:tcPr>
          <w:p>
            <w:pPr>
              <w:pStyle w:val="HorizontalLine"/>
              <w:pBdr>
                <w:bottom w:val="double" w:sz="2" w:space="0" w:color="808080"/>
              </w:pBdr>
              <w:bidi w:val="0"/>
              <w:spacing w:before="0" w:after="283"/>
              <w:jc w:val="left"/>
              <w:rPr/>
            </w:pPr>
            <w:r>
              <w:rPr/>
            </w:r>
          </w:p>
        </w:tc>
        <w:tc>
          <w:tcPr>
            <w:tcW w:w="836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7038/000119312526417416/iam-20261008.htm" TargetMode="External"/><Relationship Id="rId3" Type="http://schemas.openxmlformats.org/officeDocument/2006/relationships/hyperlink" Target="https://www.sec.gov/Archives/edgar/data/1997038/000119312526420387/iambic_8-a12b.htm" TargetMode="External"/><Relationship Id="rId4" Type="http://schemas.openxmlformats.org/officeDocument/2006/relationships/hyperlink" Target="https://www.sec.gov/Archives/edgar/data/1997038/000119312526417416/iam-ex10_3.htm" TargetMode="External"/><Relationship Id="rId5" Type="http://schemas.openxmlformats.org/officeDocument/2006/relationships/hyperlink" Target="https://www.sec.gov/Archives/edgar/data/1997038/000119312526417416/iam-ex10_4.htm" TargetMode="External"/><Relationship Id="rId6" Type="http://schemas.openxmlformats.org/officeDocument/2006/relationships/hyperlink" Target="https://www.sec.gov/Archives/edgar/data/1997038/000119312526396704/iam-ex10_2.htm" TargetMode="External"/><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4366</Words>
  <Characters>23452</Characters>
  <CharactersWithSpaces>27728</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