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19.xml.htm"/>
      <w:bookmarkStart w:id="1" w:name="ksform310142026_1010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Josephson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40,459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175,533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57,048</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 option to purchase 215,992 shares was granted on February 16, 2024 and was exercised in part prior to the date on which the reporting person became subject to Section 16. Twenty-five percent of the shares subject to the option vested on January 31, 2025 and 1/48th of the shares vest monthly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in 48 equal monthly installments beginning on March 23,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19.htm"/>
      <w:bookmarkStart w:id="3" w:name="ksex2410142026_101019"/>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14th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Neil Josephson</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Print Name: </w:t>
      </w:r>
      <w:bookmarkStart w:id="4" w:name="_dioptra_p_698dea29"/>
      <w:bookmarkEnd w:id="4"/>
      <w:r>
        <w:rPr>
          <w:sz w:val="22"/>
        </w:rPr>
        <w:t>Neil Josephson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64141"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816</Words>
  <Characters>4335</Characters>
  <CharactersWithSpaces>5067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