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10142026_101058.xml.htm"/>
      <w:bookmarkStart w:id="1" w:name="ksform310142026_101058"/>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Manby Frederick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IAMBIC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5627 OBERLIN DRIVE, SUITE 120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10/14/2026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Iambic Therapeutics, Inc.</w:t>
              </w:r>
            </w:hyperlink>
            <w:r>
              <w:rPr/>
              <w:t xml:space="preserve"> [ </w:t>
            </w:r>
            <w:r>
              <w:rPr>
                <w:rFonts w:ascii="Times;serif" w:hAnsi="Times;serif"/>
                <w:color w:val="0000FF"/>
                <w:sz w:val="24"/>
                <w:shd w:fill="FFFFFF" w:val="clear"/>
              </w:rPr>
              <w:t>IAM</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1,730,465</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15"/>
        <w:gridCol w:w="1222"/>
        <w:gridCol w:w="1123"/>
        <w:gridCol w:w="1277"/>
        <w:gridCol w:w="967"/>
        <w:gridCol w:w="1253"/>
        <w:gridCol w:w="1211"/>
        <w:gridCol w:w="1337"/>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77"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67"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3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04/17/2033</w:t>
            </w:r>
          </w:p>
        </w:tc>
        <w:tc>
          <w:tcPr>
            <w:tcW w:w="12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39,083</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w:t>
            </w:r>
          </w:p>
        </w:tc>
        <w:tc>
          <w:tcPr>
            <w:tcW w:w="12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08/07/2034</w:t>
            </w:r>
          </w:p>
        </w:tc>
        <w:tc>
          <w:tcPr>
            <w:tcW w:w="12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137,696</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6.47</w:t>
            </w:r>
          </w:p>
        </w:tc>
        <w:tc>
          <w:tcPr>
            <w:tcW w:w="12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08/07/2034</w:t>
            </w:r>
          </w:p>
        </w:tc>
        <w:tc>
          <w:tcPr>
            <w:tcW w:w="12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137,697</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6.47</w:t>
            </w:r>
          </w:p>
        </w:tc>
        <w:tc>
          <w:tcPr>
            <w:tcW w:w="12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03/03/2036</w:t>
            </w:r>
          </w:p>
        </w:tc>
        <w:tc>
          <w:tcPr>
            <w:tcW w:w="12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136,025</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8.73</w:t>
            </w:r>
          </w:p>
        </w:tc>
        <w:tc>
          <w:tcPr>
            <w:tcW w:w="12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Performance Share Units</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1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2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317,394</w:t>
            </w:r>
          </w:p>
        </w:tc>
        <w:tc>
          <w:tcPr>
            <w:tcW w:w="12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12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is subject to an early exercise provision and is immediately exercisable. Twenty-five percent of the shares subject to the option vested on March 1, 2024 and 1/48th of the shares vest monthly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subject to the option vest in 48 equal monthly installments beginning on July 1,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 is subject to certain performance metrics. Prior to the date on which the reporting person became subject to Section 16, 50% of the shares subject to the option vested. The remaining 50% vest upon the Issuer's submission to the FDA of an IND application relating to cyclin-dependent kinase, as determined by the administrator of the Issuer's 2020 Equity Incentive Plan in accordance with the terms of the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subject to the option vest in 48 equal monthly installments beginning on March 23,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performance-based restricted stock units, or PSUs, vest upon the satisfaction of certain milestones and a liquidity event. The milestone requirement will be satisfied upon the earlier of (i) (a) the first dosing of a subject in a human clinical trial for the Issuer's product targeting HER2 ("HER2 Product"), together with prior data and information concerning such product, would be sufficient to support the filing of a Marketing Authorization Application in the U.S. or (b) a foreign clinical trial that is equivalent to clause (a), including any clinical trial indicated to be a Phase 3 trial, (ii) entering into a partnering transaction in which the Issuer grants to a non-affiliate third party exclusive rights to commercialize (or any co-commercialization rights in) a HER2 Product in the U.S. and/or European Union, or (iii) a change in control. The liquidity event was satisfied on October 14, 2026, the effective date of the Issuer's initial public offering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event deadline is March 3, 2033.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Each PSU represents a contingent right to receive one share of Issuer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Sunny Chang,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330" w:after="0"/>
        <w:jc w:val="center"/>
        <w:rPr>
          <w:b/>
          <w:sz w:val="22"/>
        </w:rPr>
      </w:pPr>
      <w:bookmarkStart w:id="2" w:name="ex24-10142026_101058.htm"/>
      <w:bookmarkStart w:id="3" w:name="ksex2410142026_101058"/>
      <w:bookmarkEnd w:id="2"/>
      <w:bookmarkEnd w:id="3"/>
      <w:r>
        <w:rPr>
          <w:b/>
          <w:sz w:val="22"/>
        </w:rPr>
        <w:t>POWER OF ATTORNEY</w:t>
      </w:r>
      <w:r>
        <w:br w:type="page"/>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 xml:space="preserve">The undersigned, as a Section 16 reporting person of Iambic Therapeutics, Inc. (the Company), hereby constitutes and appoints Sunny Chang, Dean Geruntino, Jonathan Golightly and Katerina Karaoglanova, and each of them, as the undersigneds true and lawful attorney-in-fact to: </w: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914400" cy="160655"/>
                <wp:effectExtent l="0" t="0" r="0" b="0"/>
                <wp:wrapSquare wrapText="right"/>
                <wp:docPr id="4" name="Frame1"/>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1.</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do all acts necessary in order to file such forms with the SEC, any securities exchange or national association, the Company and such other person or agency as the attorneys-in-fact shall deem appropriate.</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914400" cy="160655"/>
                <wp:effectExtent l="0" t="0" r="0" b="0"/>
                <wp:wrapSquare wrapText="right"/>
                <wp:docPr id="5" name="Frame2"/>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2.</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 xml:space="preserve">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 </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IN WITNESS WHEREOF, the undersigned has caused this Power of Attorney to be executed as of this 15th day of September, 2026.</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pBdr/>
        <w:bidi w:val="0"/>
        <w:spacing w:before="0" w:after="0"/>
        <w:ind w:left="0" w:right="0" w:hanging="0"/>
        <w:jc w:val="both"/>
        <w:rPr>
          <w:sz w:val="22"/>
        </w:rPr>
      </w:pPr>
      <w:r>
        <w:rPr>
          <w:sz w:val="22"/>
        </w:rPr>
        <w:t xml:space="preserve">Signature: </w:t>
      </w:r>
      <w:r>
        <w:rPr>
          <w:sz w:val="22"/>
          <w:u w:val="single"/>
        </w:rPr>
        <w:t>/s/ Frederick R. Manby</w:t>
      </w:r>
    </w:p>
    <w:p>
      <w:pPr>
        <w:pStyle w:val="TextBody"/>
        <w:bidi w:val="0"/>
        <w:spacing w:before="0" w:after="0"/>
        <w:ind w:left="0" w:right="0" w:hanging="0"/>
        <w:jc w:val="both"/>
        <w:rPr/>
      </w:pPr>
      <w:r>
        <w:rPr/>
      </w:r>
    </w:p>
    <w:p>
      <w:pPr>
        <w:pStyle w:val="TextBody"/>
        <w:pBdr/>
        <w:bidi w:val="0"/>
        <w:spacing w:before="0" w:after="0"/>
        <w:ind w:left="0" w:right="0" w:hanging="0"/>
        <w:jc w:val="both"/>
        <w:rPr>
          <w:sz w:val="22"/>
        </w:rPr>
      </w:pPr>
      <w:r>
        <w:rPr>
          <w:sz w:val="22"/>
        </w:rPr>
        <w:t xml:space="preserve">Print Name: </w:t>
      </w:r>
      <w:bookmarkStart w:id="4" w:name="_dioptra_p_505d4a9a"/>
      <w:bookmarkEnd w:id="4"/>
      <w:r>
        <w:rPr>
          <w:sz w:val="22"/>
        </w:rPr>
        <w:t>Frederick R. Manby</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both"/>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6015" TargetMode="External"/><Relationship Id="rId3" Type="http://schemas.openxmlformats.org/officeDocument/2006/relationships/hyperlink" Target="http://www.sec.gov/cgi-bin/browse-edgar?action=getcompany&amp;CIK=000199703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1106</Words>
  <Characters>5828</Characters>
  <CharactersWithSpaces>6824</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