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32.xml.htm"/>
      <w:bookmarkStart w:id="1" w:name="ksform310142026_10103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Rachlin Evan Lockwood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5"/>
        <w:gridCol w:w="1221"/>
        <w:gridCol w:w="1120"/>
        <w:gridCol w:w="1258"/>
        <w:gridCol w:w="1134"/>
        <w:gridCol w:w="1248"/>
        <w:gridCol w:w="1205"/>
        <w:gridCol w:w="132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5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1,152,025</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57,754</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16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B-3 Convertible Preferred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306,711</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16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Convertible Promissory Notes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10/16/2026</w:t>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08/14/2028</w:t>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410,762</w:t>
            </w:r>
            <w:r>
              <w:rPr>
                <w:rFonts w:ascii="Times;serif" w:hAnsi="Times;serif"/>
                <w:color w:val="008000"/>
                <w:position w:val="7"/>
                <w:sz w:val="16"/>
                <w:sz w:val="20"/>
                <w:shd w:fill="FFFFFF" w:val="clear"/>
              </w:rPr>
              <w:t>(5)</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B Convertible Preferred Stock shall automatically convert into Common Stock on a one-to-one basis immediately prior to the completion of the Issuer's initial public offering of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of record by Ascenta Capital Fund I, L.P., or Ascenta Capital Fund I. As a Managing Member of Ascenta Capital Fund I, G.P., L.L.C., the General Partner of Ascenta Capital Fund I, the reporting person shares voting and dispositive power with respect to the shares held of record by Ascenta Capital Fund I. The reporting person disclaims beneficial ownership of the securities reported herein for purposes of Section 16 of the Exchange Act,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of record by Ascenta Capital Project Turing SPV, L.P., or Ascenta Capital Project Turing. As a Managing Member of Ascenta Capital Fund I, G.P., L.L.C., the General Partner of Ascenta Capital Project Turing, the reporting person shares voting and dispositive power with respect to the shares held of record by Ascenta Capital Project Turing. The reporting person disclaims beneficial ownership of the securities reported herein for purposes of Section 16 of the Exchange Act,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Series B-3 Convertible Preferred Stock shall automatically convert into Common Stock on a one-to-one basis immediately prior to the completion of the Issuer's initial public offering of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amount of shares reported assumes the Issuer's initial public offering price per share (the "IPO Price") to be $16.00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conversion price is equal to the lower of (i) 85% of the IPO Price (reflecting a 15% discount) and (ii) the price per share implied by a $900.0 million valuation cap.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32.htm"/>
      <w:bookmarkStart w:id="3" w:name="ksex2410142026_101032"/>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9th day of October,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Evan Rachlin</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Print Name: Evan Rachlin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1678"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1076</Words>
  <Characters>5703</Characters>
  <CharactersWithSpaces>6677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